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5B" w:rsidRDefault="006E0628">
      <w:pPr>
        <w:pStyle w:val="Yltunniste"/>
        <w:tabs>
          <w:tab w:val="clear" w:pos="4819"/>
          <w:tab w:val="clear" w:pos="9638"/>
        </w:tabs>
        <w:jc w:val="right"/>
        <w:rPr>
          <w:b/>
          <w:bCs/>
        </w:rPr>
      </w:pPr>
      <w:bookmarkStart w:id="0" w:name="_GoBack"/>
      <w:bookmarkEnd w:id="0"/>
      <w:r>
        <w:rPr>
          <w:b/>
          <w:bCs/>
        </w:rPr>
        <w:t>Ilmoitus</w:t>
      </w:r>
      <w:r w:rsidR="00590DA9">
        <w:rPr>
          <w:b/>
          <w:bCs/>
        </w:rPr>
        <w:t xml:space="preserve"> 2</w:t>
      </w:r>
      <w:r w:rsidR="00E73C5B">
        <w:rPr>
          <w:b/>
          <w:bCs/>
        </w:rPr>
        <w:t>/20</w:t>
      </w:r>
      <w:r w:rsidR="00B965C7">
        <w:rPr>
          <w:b/>
          <w:bCs/>
        </w:rPr>
        <w:t>1</w:t>
      </w:r>
      <w:r>
        <w:rPr>
          <w:b/>
          <w:bCs/>
        </w:rPr>
        <w:t>4</w:t>
      </w:r>
      <w:r w:rsidR="00E73C5B">
        <w:rPr>
          <w:b/>
          <w:bCs/>
        </w:rPr>
        <w:t xml:space="preserve"> kirkolliskokoukselle</w:t>
      </w:r>
    </w:p>
    <w:p w:rsidR="00E73C5B" w:rsidRDefault="00E73C5B">
      <w:pPr>
        <w:pStyle w:val="Yltunniste"/>
        <w:tabs>
          <w:tab w:val="clear" w:pos="4819"/>
          <w:tab w:val="clear" w:pos="9638"/>
        </w:tabs>
        <w:jc w:val="right"/>
        <w:rPr>
          <w:b/>
          <w:bCs/>
        </w:rPr>
      </w:pPr>
      <w:r>
        <w:rPr>
          <w:b/>
          <w:bCs/>
        </w:rPr>
        <w:t>Kirkkohallitus</w:t>
      </w:r>
    </w:p>
    <w:p w:rsidR="00E73C5B" w:rsidRDefault="00E73C5B">
      <w:pPr>
        <w:pStyle w:val="Otsikko3"/>
      </w:pPr>
      <w:r>
        <w:t>Asianro 20</w:t>
      </w:r>
      <w:r w:rsidR="00B965C7">
        <w:t>1</w:t>
      </w:r>
      <w:r w:rsidR="006E0628">
        <w:t>4</w:t>
      </w:r>
      <w:r>
        <w:t>-00</w:t>
      </w:r>
      <w:r w:rsidR="00EF0D3F">
        <w:t>2</w:t>
      </w:r>
      <w:r w:rsidR="006E0628">
        <w:t>98</w:t>
      </w:r>
    </w:p>
    <w:p w:rsidR="00E73C5B" w:rsidRDefault="00E73C5B"/>
    <w:p w:rsidR="00E73C5B" w:rsidRDefault="00E73C5B"/>
    <w:p w:rsidR="00E73C5B" w:rsidRDefault="00E73C5B"/>
    <w:p w:rsidR="00E73C5B" w:rsidRDefault="00E73C5B"/>
    <w:p w:rsidR="00E73C5B" w:rsidRDefault="00E73C5B"/>
    <w:p w:rsidR="00E73C5B" w:rsidRDefault="00E73C5B"/>
    <w:p w:rsidR="00E73C5B" w:rsidRDefault="00E73C5B"/>
    <w:p w:rsidR="00E73C5B" w:rsidRDefault="00E73C5B"/>
    <w:p w:rsidR="00E73C5B" w:rsidRDefault="00E73C5B"/>
    <w:p w:rsidR="00E73C5B" w:rsidRDefault="007B43DC">
      <w:pPr>
        <w:pStyle w:val="Sisennettyleipteksti"/>
        <w:ind w:left="0"/>
        <w:rPr>
          <w:color w:val="000000"/>
          <w:szCs w:val="24"/>
        </w:rPr>
      </w:pPr>
      <w:r>
        <w:rPr>
          <w:color w:val="000000"/>
          <w:szCs w:val="24"/>
        </w:rPr>
        <w:t>KIRKON KESKUSRAHASTON TALOUDELLINEN TILANNE</w:t>
      </w:r>
    </w:p>
    <w:p w:rsidR="00C07044" w:rsidRDefault="00C07044">
      <w:pPr>
        <w:pStyle w:val="Sisennettyleipteksti"/>
        <w:ind w:left="0"/>
        <w:rPr>
          <w:color w:val="000000"/>
          <w:szCs w:val="24"/>
        </w:rPr>
      </w:pPr>
    </w:p>
    <w:p w:rsidR="00C07044" w:rsidRDefault="00C07044">
      <w:pPr>
        <w:pStyle w:val="Sisennettyleipteksti"/>
        <w:ind w:left="0"/>
      </w:pPr>
    </w:p>
    <w:p w:rsidR="00DC6F02" w:rsidRDefault="00DC6F02" w:rsidP="00590DA9">
      <w:pPr>
        <w:autoSpaceDE w:val="0"/>
        <w:autoSpaceDN w:val="0"/>
        <w:adjustRightInd w:val="0"/>
        <w:jc w:val="both"/>
        <w:rPr>
          <w:color w:val="000000"/>
          <w:szCs w:val="24"/>
        </w:rPr>
      </w:pPr>
      <w:r>
        <w:rPr>
          <w:color w:val="000000"/>
          <w:szCs w:val="24"/>
        </w:rPr>
        <w:t xml:space="preserve">Kirkkohallitus antaa kevätistuntokaudella kirkolliskokoukselle työjärjestyksen 44 §:n 1 momentin mukaisen kirjallisen ilmoituksen, jossa selostetaan Kirkon keskusrahaston taloudellista tilannetta ja todetaan kuluvan vuoden talousarvion toteutuma sekä kirkkohallituksen hyväksymät seuraavan vuoden talousarviokehykset. </w:t>
      </w:r>
    </w:p>
    <w:p w:rsidR="00DC6F02" w:rsidRDefault="00DC6F02" w:rsidP="00590DA9">
      <w:pPr>
        <w:autoSpaceDE w:val="0"/>
        <w:autoSpaceDN w:val="0"/>
        <w:adjustRightInd w:val="0"/>
        <w:jc w:val="both"/>
        <w:rPr>
          <w:color w:val="000000"/>
          <w:szCs w:val="24"/>
        </w:rPr>
      </w:pPr>
    </w:p>
    <w:p w:rsidR="00DC6F02" w:rsidRDefault="00DC6F02" w:rsidP="00590DA9">
      <w:pPr>
        <w:autoSpaceDE w:val="0"/>
        <w:autoSpaceDN w:val="0"/>
        <w:adjustRightInd w:val="0"/>
        <w:jc w:val="both"/>
        <w:rPr>
          <w:color w:val="000000"/>
          <w:szCs w:val="24"/>
        </w:rPr>
      </w:pPr>
      <w:r>
        <w:rPr>
          <w:color w:val="000000"/>
          <w:szCs w:val="24"/>
        </w:rPr>
        <w:t xml:space="preserve">Samalla ilmoituksessa annetaan määräpäivä, johon mennessä kirkolliskokousedustajat saavat lähettää suoraan kirkkohallitukselle </w:t>
      </w:r>
      <w:r>
        <w:rPr>
          <w:i/>
          <w:iCs/>
          <w:color w:val="000000"/>
          <w:szCs w:val="24"/>
        </w:rPr>
        <w:t>ehdotuksia</w:t>
      </w:r>
      <w:r>
        <w:rPr>
          <w:color w:val="000000"/>
          <w:szCs w:val="24"/>
        </w:rPr>
        <w:t xml:space="preserve"> talousarvioon otettavista määrärahoista. Nämä ehdotukset ovat mukana normaalissa talousarvion valmisteluprosessissa ja kirkkohallitus ottaa talousarvioesityksessään kantaa kaikkiin näihin ehdotuksiin.</w:t>
      </w:r>
    </w:p>
    <w:p w:rsidR="00DC6F02" w:rsidRDefault="00DC6F02" w:rsidP="00590DA9">
      <w:pPr>
        <w:autoSpaceDE w:val="0"/>
        <w:autoSpaceDN w:val="0"/>
        <w:adjustRightInd w:val="0"/>
        <w:jc w:val="both"/>
        <w:rPr>
          <w:color w:val="000000"/>
          <w:szCs w:val="24"/>
        </w:rPr>
      </w:pPr>
    </w:p>
    <w:p w:rsidR="00DC6F02" w:rsidRDefault="00DC6F02" w:rsidP="00590DA9">
      <w:pPr>
        <w:autoSpaceDE w:val="0"/>
        <w:autoSpaceDN w:val="0"/>
        <w:adjustRightInd w:val="0"/>
        <w:jc w:val="both"/>
        <w:rPr>
          <w:color w:val="000000"/>
          <w:szCs w:val="24"/>
        </w:rPr>
      </w:pPr>
      <w:r>
        <w:rPr>
          <w:color w:val="000000"/>
          <w:szCs w:val="24"/>
        </w:rPr>
        <w:t xml:space="preserve">Edelleen on voimassa talousarvioaloitteita koskeva työjärjestyksen määräys. Kirkolliskokousedustaja voi syksyllä </w:t>
      </w:r>
      <w:r>
        <w:rPr>
          <w:i/>
          <w:iCs/>
          <w:color w:val="000000"/>
          <w:szCs w:val="24"/>
        </w:rPr>
        <w:t>virallisen talousarvioaloitteen</w:t>
      </w:r>
      <w:r>
        <w:rPr>
          <w:color w:val="000000"/>
          <w:szCs w:val="24"/>
        </w:rPr>
        <w:t xml:space="preserve"> kautta tuoda kirkkohallitukselle tekemänsä ehdotuksen kirkolliskokouksen päätettäväksi, jos kirkkohallituksen ratkaisu ei tyydytä. Edustaja voi myös tehdä aloitteen kirkkohallituksen esitykseen sisältymättömän määrärahan ottamisesta talousarvioon tai esitykseen sisältyvän määrärahan muuttamisesta kuten ennenkin. </w:t>
      </w:r>
    </w:p>
    <w:p w:rsidR="00590DA9" w:rsidRDefault="00590DA9" w:rsidP="00590DA9">
      <w:pPr>
        <w:autoSpaceDE w:val="0"/>
        <w:autoSpaceDN w:val="0"/>
        <w:adjustRightInd w:val="0"/>
        <w:jc w:val="both"/>
        <w:rPr>
          <w:color w:val="000000"/>
          <w:szCs w:val="24"/>
        </w:rPr>
      </w:pPr>
    </w:p>
    <w:p w:rsidR="00DC6F02" w:rsidRDefault="00DC6F02" w:rsidP="00DC6F02">
      <w:pPr>
        <w:keepNext/>
        <w:autoSpaceDE w:val="0"/>
        <w:autoSpaceDN w:val="0"/>
        <w:adjustRightInd w:val="0"/>
        <w:rPr>
          <w:color w:val="000000"/>
          <w:szCs w:val="24"/>
        </w:rPr>
      </w:pPr>
    </w:p>
    <w:p w:rsidR="00DC6F02" w:rsidRDefault="00DC6F02" w:rsidP="00DC6F02">
      <w:pPr>
        <w:autoSpaceDE w:val="0"/>
        <w:autoSpaceDN w:val="0"/>
        <w:adjustRightInd w:val="0"/>
        <w:rPr>
          <w:b/>
          <w:bCs/>
          <w:i/>
          <w:iCs/>
          <w:color w:val="000000"/>
          <w:szCs w:val="24"/>
        </w:rPr>
      </w:pPr>
      <w:r>
        <w:rPr>
          <w:b/>
          <w:bCs/>
          <w:i/>
          <w:iCs/>
          <w:color w:val="000000"/>
          <w:szCs w:val="24"/>
        </w:rPr>
        <w:t>Vuosi 2014</w:t>
      </w:r>
    </w:p>
    <w:p w:rsidR="00DC6F02" w:rsidRDefault="00DC6F02" w:rsidP="00DC6F02">
      <w:pPr>
        <w:keepNext/>
        <w:autoSpaceDE w:val="0"/>
        <w:autoSpaceDN w:val="0"/>
        <w:adjustRightInd w:val="0"/>
        <w:rPr>
          <w:b/>
          <w:bCs/>
          <w:i/>
          <w:iCs/>
          <w:color w:val="000000"/>
          <w:szCs w:val="24"/>
        </w:rPr>
      </w:pPr>
    </w:p>
    <w:p w:rsidR="00DC6F02" w:rsidRDefault="00DC6F02" w:rsidP="00590DA9">
      <w:pPr>
        <w:autoSpaceDE w:val="0"/>
        <w:autoSpaceDN w:val="0"/>
        <w:adjustRightInd w:val="0"/>
        <w:jc w:val="both"/>
        <w:rPr>
          <w:color w:val="000000"/>
          <w:szCs w:val="24"/>
        </w:rPr>
      </w:pPr>
      <w:r>
        <w:rPr>
          <w:color w:val="000000"/>
          <w:szCs w:val="24"/>
        </w:rPr>
        <w:t>Vuodesta 2012 alkaen kirkon keskusrahasto jakautuu selkeästi kolmeen erilliseen osa-alueeseen alla olevan mukaisesti. Kukin osa-alue rahoitetaan eri tavalla ja ne pidetään erillään toisistaan.</w:t>
      </w:r>
    </w:p>
    <w:p w:rsidR="00DC6F02" w:rsidRDefault="00DC6F02" w:rsidP="00DC6F02">
      <w:pPr>
        <w:autoSpaceDE w:val="0"/>
        <w:autoSpaceDN w:val="0"/>
        <w:adjustRightInd w:val="0"/>
        <w:rPr>
          <w:color w:val="000000"/>
          <w:szCs w:val="24"/>
        </w:rPr>
      </w:pPr>
    </w:p>
    <w:tbl>
      <w:tblPr>
        <w:tblW w:w="0" w:type="auto"/>
        <w:tblLayout w:type="fixed"/>
        <w:tblLook w:val="00A0" w:firstRow="1" w:lastRow="0" w:firstColumn="1" w:lastColumn="0" w:noHBand="0" w:noVBand="0"/>
      </w:tblPr>
      <w:tblGrid>
        <w:gridCol w:w="2444"/>
        <w:gridCol w:w="2445"/>
        <w:gridCol w:w="2445"/>
      </w:tblGrid>
      <w:tr w:rsidR="00DC6F02">
        <w:tc>
          <w:tcPr>
            <w:tcW w:w="2444" w:type="dxa"/>
            <w:tcBorders>
              <w:top w:val="single" w:sz="6" w:space="0" w:color="000000"/>
              <w:left w:val="single" w:sz="6" w:space="0" w:color="000000"/>
              <w:bottom w:val="single" w:sz="6" w:space="0" w:color="000000"/>
              <w:right w:val="single" w:sz="6" w:space="0" w:color="000000"/>
            </w:tcBorders>
          </w:tcPr>
          <w:p w:rsidR="00DC6F02" w:rsidRDefault="00DC6F02">
            <w:pPr>
              <w:autoSpaceDE w:val="0"/>
              <w:autoSpaceDN w:val="0"/>
              <w:adjustRightInd w:val="0"/>
              <w:rPr>
                <w:color w:val="000000"/>
                <w:szCs w:val="24"/>
              </w:rPr>
            </w:pPr>
            <w:r>
              <w:rPr>
                <w:color w:val="000000"/>
                <w:szCs w:val="24"/>
              </w:rPr>
              <w:t>Kirkon eläkelaitos</w:t>
            </w:r>
          </w:p>
        </w:tc>
        <w:tc>
          <w:tcPr>
            <w:tcW w:w="2445" w:type="dxa"/>
            <w:tcBorders>
              <w:top w:val="single" w:sz="6" w:space="0" w:color="000000"/>
              <w:left w:val="single" w:sz="6" w:space="0" w:color="000000"/>
              <w:bottom w:val="single" w:sz="6" w:space="0" w:color="000000"/>
              <w:right w:val="single" w:sz="6" w:space="0" w:color="000000"/>
            </w:tcBorders>
          </w:tcPr>
          <w:p w:rsidR="00DC6F02" w:rsidRDefault="00DC6F02">
            <w:pPr>
              <w:autoSpaceDE w:val="0"/>
              <w:autoSpaceDN w:val="0"/>
              <w:adjustRightInd w:val="0"/>
              <w:rPr>
                <w:color w:val="000000"/>
                <w:szCs w:val="24"/>
              </w:rPr>
            </w:pPr>
            <w:r>
              <w:rPr>
                <w:color w:val="000000"/>
                <w:szCs w:val="24"/>
              </w:rPr>
              <w:t>Kirkon yhteinen toiminta</w:t>
            </w:r>
          </w:p>
        </w:tc>
        <w:tc>
          <w:tcPr>
            <w:tcW w:w="2445" w:type="dxa"/>
            <w:tcBorders>
              <w:top w:val="single" w:sz="6" w:space="0" w:color="000000"/>
              <w:left w:val="single" w:sz="6" w:space="0" w:color="000000"/>
              <w:bottom w:val="single" w:sz="6" w:space="0" w:color="000000"/>
              <w:right w:val="single" w:sz="6" w:space="0" w:color="000000"/>
            </w:tcBorders>
          </w:tcPr>
          <w:p w:rsidR="00DC6F02" w:rsidRDefault="00DC6F02">
            <w:pPr>
              <w:autoSpaceDE w:val="0"/>
              <w:autoSpaceDN w:val="0"/>
              <w:adjustRightInd w:val="0"/>
              <w:rPr>
                <w:color w:val="000000"/>
                <w:szCs w:val="24"/>
              </w:rPr>
            </w:pPr>
            <w:r>
              <w:rPr>
                <w:color w:val="000000"/>
                <w:szCs w:val="24"/>
              </w:rPr>
              <w:t>Kirkon palvelukeskus</w:t>
            </w:r>
          </w:p>
        </w:tc>
      </w:tr>
      <w:tr w:rsidR="00DC6F02">
        <w:tc>
          <w:tcPr>
            <w:tcW w:w="2444" w:type="dxa"/>
            <w:tcBorders>
              <w:top w:val="single" w:sz="6" w:space="0" w:color="000000"/>
              <w:left w:val="single" w:sz="6" w:space="0" w:color="000000"/>
              <w:bottom w:val="single" w:sz="6" w:space="0" w:color="000000"/>
              <w:right w:val="single" w:sz="6" w:space="0" w:color="000000"/>
            </w:tcBorders>
          </w:tcPr>
          <w:p w:rsidR="00DC6F02" w:rsidRDefault="00DC6F02">
            <w:pPr>
              <w:autoSpaceDE w:val="0"/>
              <w:autoSpaceDN w:val="0"/>
              <w:adjustRightInd w:val="0"/>
              <w:rPr>
                <w:color w:val="000000"/>
                <w:szCs w:val="24"/>
              </w:rPr>
            </w:pPr>
          </w:p>
        </w:tc>
        <w:tc>
          <w:tcPr>
            <w:tcW w:w="2445" w:type="dxa"/>
            <w:tcBorders>
              <w:top w:val="single" w:sz="6" w:space="0" w:color="000000"/>
              <w:left w:val="single" w:sz="6" w:space="0" w:color="000000"/>
              <w:bottom w:val="single" w:sz="6" w:space="0" w:color="000000"/>
              <w:right w:val="single" w:sz="6" w:space="0" w:color="000000"/>
            </w:tcBorders>
          </w:tcPr>
          <w:p w:rsidR="00DC6F02" w:rsidRDefault="00DC6F02">
            <w:pPr>
              <w:autoSpaceDE w:val="0"/>
              <w:autoSpaceDN w:val="0"/>
              <w:adjustRightInd w:val="0"/>
              <w:rPr>
                <w:color w:val="000000"/>
                <w:szCs w:val="24"/>
              </w:rPr>
            </w:pPr>
            <w:r>
              <w:rPr>
                <w:color w:val="000000"/>
                <w:szCs w:val="24"/>
              </w:rPr>
              <w:t>Kirkkohallitus</w:t>
            </w:r>
          </w:p>
        </w:tc>
        <w:tc>
          <w:tcPr>
            <w:tcW w:w="2445" w:type="dxa"/>
            <w:tcBorders>
              <w:top w:val="single" w:sz="6" w:space="0" w:color="000000"/>
              <w:left w:val="single" w:sz="6" w:space="0" w:color="000000"/>
              <w:bottom w:val="single" w:sz="6" w:space="0" w:color="000000"/>
              <w:right w:val="single" w:sz="6" w:space="0" w:color="000000"/>
            </w:tcBorders>
          </w:tcPr>
          <w:p w:rsidR="00DC6F02" w:rsidRDefault="00DC6F02">
            <w:pPr>
              <w:autoSpaceDE w:val="0"/>
              <w:autoSpaceDN w:val="0"/>
              <w:adjustRightInd w:val="0"/>
              <w:rPr>
                <w:color w:val="000000"/>
                <w:szCs w:val="24"/>
              </w:rPr>
            </w:pPr>
          </w:p>
        </w:tc>
      </w:tr>
      <w:tr w:rsidR="00DC6F02">
        <w:tc>
          <w:tcPr>
            <w:tcW w:w="2444" w:type="dxa"/>
            <w:tcBorders>
              <w:top w:val="single" w:sz="6" w:space="0" w:color="000000"/>
              <w:left w:val="single" w:sz="6" w:space="0" w:color="000000"/>
              <w:bottom w:val="single" w:sz="6" w:space="0" w:color="000000"/>
              <w:right w:val="single" w:sz="6" w:space="0" w:color="000000"/>
            </w:tcBorders>
          </w:tcPr>
          <w:p w:rsidR="00DC6F02" w:rsidRDefault="00DC6F02">
            <w:pPr>
              <w:autoSpaceDE w:val="0"/>
              <w:autoSpaceDN w:val="0"/>
              <w:adjustRightInd w:val="0"/>
              <w:rPr>
                <w:color w:val="000000"/>
                <w:szCs w:val="24"/>
              </w:rPr>
            </w:pPr>
          </w:p>
        </w:tc>
        <w:tc>
          <w:tcPr>
            <w:tcW w:w="2445" w:type="dxa"/>
            <w:tcBorders>
              <w:top w:val="single" w:sz="6" w:space="0" w:color="000000"/>
              <w:left w:val="single" w:sz="6" w:space="0" w:color="000000"/>
              <w:bottom w:val="single" w:sz="6" w:space="0" w:color="000000"/>
              <w:right w:val="single" w:sz="6" w:space="0" w:color="000000"/>
            </w:tcBorders>
          </w:tcPr>
          <w:p w:rsidR="00DC6F02" w:rsidRDefault="00DC6F02">
            <w:pPr>
              <w:autoSpaceDE w:val="0"/>
              <w:autoSpaceDN w:val="0"/>
              <w:adjustRightInd w:val="0"/>
              <w:rPr>
                <w:color w:val="000000"/>
                <w:szCs w:val="24"/>
              </w:rPr>
            </w:pPr>
            <w:r>
              <w:rPr>
                <w:color w:val="000000"/>
                <w:szCs w:val="24"/>
              </w:rPr>
              <w:t>Hiippakunnallinen toiminta</w:t>
            </w:r>
          </w:p>
        </w:tc>
        <w:tc>
          <w:tcPr>
            <w:tcW w:w="2445" w:type="dxa"/>
            <w:tcBorders>
              <w:top w:val="single" w:sz="6" w:space="0" w:color="000000"/>
              <w:left w:val="single" w:sz="6" w:space="0" w:color="000000"/>
              <w:bottom w:val="single" w:sz="6" w:space="0" w:color="000000"/>
              <w:right w:val="single" w:sz="6" w:space="0" w:color="000000"/>
            </w:tcBorders>
          </w:tcPr>
          <w:p w:rsidR="00DC6F02" w:rsidRDefault="00DC6F02">
            <w:pPr>
              <w:autoSpaceDE w:val="0"/>
              <w:autoSpaceDN w:val="0"/>
              <w:adjustRightInd w:val="0"/>
              <w:rPr>
                <w:color w:val="000000"/>
                <w:szCs w:val="24"/>
              </w:rPr>
            </w:pPr>
          </w:p>
        </w:tc>
      </w:tr>
      <w:tr w:rsidR="00DC6F02">
        <w:tc>
          <w:tcPr>
            <w:tcW w:w="2444" w:type="dxa"/>
            <w:tcBorders>
              <w:top w:val="single" w:sz="6" w:space="0" w:color="000000"/>
              <w:left w:val="single" w:sz="6" w:space="0" w:color="000000"/>
              <w:bottom w:val="single" w:sz="6" w:space="0" w:color="000000"/>
              <w:right w:val="single" w:sz="6" w:space="0" w:color="000000"/>
            </w:tcBorders>
          </w:tcPr>
          <w:p w:rsidR="00DC6F02" w:rsidRDefault="00DC6F02">
            <w:pPr>
              <w:autoSpaceDE w:val="0"/>
              <w:autoSpaceDN w:val="0"/>
              <w:adjustRightInd w:val="0"/>
              <w:rPr>
                <w:color w:val="000000"/>
                <w:szCs w:val="24"/>
              </w:rPr>
            </w:pPr>
          </w:p>
        </w:tc>
        <w:tc>
          <w:tcPr>
            <w:tcW w:w="2445" w:type="dxa"/>
            <w:tcBorders>
              <w:top w:val="single" w:sz="6" w:space="0" w:color="000000"/>
              <w:left w:val="single" w:sz="6" w:space="0" w:color="000000"/>
              <w:bottom w:val="single" w:sz="6" w:space="0" w:color="000000"/>
              <w:right w:val="single" w:sz="6" w:space="0" w:color="000000"/>
            </w:tcBorders>
          </w:tcPr>
          <w:p w:rsidR="00DC6F02" w:rsidRDefault="00DC6F02">
            <w:pPr>
              <w:autoSpaceDE w:val="0"/>
              <w:autoSpaceDN w:val="0"/>
              <w:adjustRightInd w:val="0"/>
              <w:rPr>
                <w:color w:val="000000"/>
                <w:szCs w:val="24"/>
              </w:rPr>
            </w:pPr>
            <w:r>
              <w:rPr>
                <w:color w:val="000000"/>
                <w:szCs w:val="24"/>
              </w:rPr>
              <w:t>Avustukset</w:t>
            </w:r>
          </w:p>
        </w:tc>
        <w:tc>
          <w:tcPr>
            <w:tcW w:w="2445" w:type="dxa"/>
            <w:tcBorders>
              <w:top w:val="single" w:sz="6" w:space="0" w:color="000000"/>
              <w:left w:val="single" w:sz="6" w:space="0" w:color="000000"/>
              <w:bottom w:val="single" w:sz="6" w:space="0" w:color="000000"/>
              <w:right w:val="single" w:sz="6" w:space="0" w:color="000000"/>
            </w:tcBorders>
          </w:tcPr>
          <w:p w:rsidR="00DC6F02" w:rsidRDefault="00DC6F02">
            <w:pPr>
              <w:autoSpaceDE w:val="0"/>
              <w:autoSpaceDN w:val="0"/>
              <w:adjustRightInd w:val="0"/>
              <w:rPr>
                <w:color w:val="000000"/>
                <w:szCs w:val="24"/>
              </w:rPr>
            </w:pPr>
          </w:p>
        </w:tc>
      </w:tr>
      <w:tr w:rsidR="00DC6F02">
        <w:tc>
          <w:tcPr>
            <w:tcW w:w="2444" w:type="dxa"/>
            <w:tcBorders>
              <w:top w:val="single" w:sz="6" w:space="0" w:color="000000"/>
              <w:left w:val="single" w:sz="6" w:space="0" w:color="000000"/>
              <w:bottom w:val="single" w:sz="6" w:space="0" w:color="000000"/>
              <w:right w:val="single" w:sz="6" w:space="0" w:color="000000"/>
            </w:tcBorders>
          </w:tcPr>
          <w:p w:rsidR="00DC6F02" w:rsidRDefault="00DC6F02">
            <w:pPr>
              <w:autoSpaceDE w:val="0"/>
              <w:autoSpaceDN w:val="0"/>
              <w:adjustRightInd w:val="0"/>
              <w:rPr>
                <w:color w:val="000000"/>
                <w:szCs w:val="24"/>
              </w:rPr>
            </w:pPr>
            <w:r>
              <w:rPr>
                <w:color w:val="000000"/>
                <w:szCs w:val="24"/>
              </w:rPr>
              <w:t>Eläkemaksutulot</w:t>
            </w:r>
          </w:p>
        </w:tc>
        <w:tc>
          <w:tcPr>
            <w:tcW w:w="2445" w:type="dxa"/>
            <w:tcBorders>
              <w:top w:val="single" w:sz="6" w:space="0" w:color="000000"/>
              <w:left w:val="single" w:sz="6" w:space="0" w:color="000000"/>
              <w:bottom w:val="single" w:sz="6" w:space="0" w:color="000000"/>
              <w:right w:val="single" w:sz="6" w:space="0" w:color="000000"/>
            </w:tcBorders>
          </w:tcPr>
          <w:p w:rsidR="00DC6F02" w:rsidRDefault="00DC6F02">
            <w:pPr>
              <w:autoSpaceDE w:val="0"/>
              <w:autoSpaceDN w:val="0"/>
              <w:adjustRightInd w:val="0"/>
              <w:rPr>
                <w:color w:val="000000"/>
                <w:szCs w:val="24"/>
              </w:rPr>
            </w:pPr>
            <w:r>
              <w:rPr>
                <w:color w:val="000000"/>
                <w:szCs w:val="24"/>
              </w:rPr>
              <w:t>Seurakuntamaksutulot</w:t>
            </w:r>
          </w:p>
        </w:tc>
        <w:tc>
          <w:tcPr>
            <w:tcW w:w="2445" w:type="dxa"/>
            <w:tcBorders>
              <w:top w:val="single" w:sz="6" w:space="0" w:color="000000"/>
              <w:left w:val="single" w:sz="6" w:space="0" w:color="000000"/>
              <w:bottom w:val="single" w:sz="6" w:space="0" w:color="000000"/>
              <w:right w:val="single" w:sz="6" w:space="0" w:color="000000"/>
            </w:tcBorders>
          </w:tcPr>
          <w:p w:rsidR="00DC6F02" w:rsidRDefault="00DC6F02">
            <w:pPr>
              <w:autoSpaceDE w:val="0"/>
              <w:autoSpaceDN w:val="0"/>
              <w:adjustRightInd w:val="0"/>
              <w:rPr>
                <w:color w:val="000000"/>
                <w:szCs w:val="24"/>
              </w:rPr>
            </w:pPr>
            <w:r>
              <w:rPr>
                <w:color w:val="000000"/>
                <w:szCs w:val="24"/>
              </w:rPr>
              <w:t>Palvelumaksutulot</w:t>
            </w:r>
          </w:p>
        </w:tc>
      </w:tr>
    </w:tbl>
    <w:p w:rsidR="00DC6F02" w:rsidRDefault="00DC6F02" w:rsidP="00DC6F02">
      <w:pPr>
        <w:autoSpaceDE w:val="0"/>
        <w:autoSpaceDN w:val="0"/>
        <w:adjustRightInd w:val="0"/>
        <w:rPr>
          <w:color w:val="000000"/>
          <w:szCs w:val="24"/>
        </w:rPr>
      </w:pPr>
    </w:p>
    <w:p w:rsidR="00DC6F02" w:rsidRDefault="00DC6F02" w:rsidP="00DC6F02">
      <w:pPr>
        <w:autoSpaceDE w:val="0"/>
        <w:autoSpaceDN w:val="0"/>
        <w:adjustRightInd w:val="0"/>
        <w:rPr>
          <w:color w:val="000000"/>
          <w:szCs w:val="24"/>
        </w:rPr>
      </w:pPr>
    </w:p>
    <w:p w:rsidR="00DC6F02" w:rsidRDefault="00DC6F02" w:rsidP="00DC6F02">
      <w:pPr>
        <w:autoSpaceDE w:val="0"/>
        <w:autoSpaceDN w:val="0"/>
        <w:adjustRightInd w:val="0"/>
        <w:rPr>
          <w:color w:val="000000"/>
          <w:szCs w:val="24"/>
          <w:u w:val="single"/>
        </w:rPr>
      </w:pPr>
      <w:r>
        <w:rPr>
          <w:color w:val="000000"/>
          <w:szCs w:val="24"/>
          <w:u w:val="single"/>
        </w:rPr>
        <w:t>Kirkon eläkelaitos</w:t>
      </w:r>
    </w:p>
    <w:p w:rsidR="00DC6F02" w:rsidRDefault="00DC6F02" w:rsidP="00DC6F02">
      <w:pPr>
        <w:autoSpaceDE w:val="0"/>
        <w:autoSpaceDN w:val="0"/>
        <w:adjustRightInd w:val="0"/>
        <w:rPr>
          <w:color w:val="000000"/>
          <w:szCs w:val="24"/>
          <w:u w:val="single"/>
        </w:rPr>
      </w:pPr>
    </w:p>
    <w:p w:rsidR="00DC6F02" w:rsidRDefault="00DC6F02" w:rsidP="00590DA9">
      <w:pPr>
        <w:autoSpaceDE w:val="0"/>
        <w:autoSpaceDN w:val="0"/>
        <w:adjustRightInd w:val="0"/>
        <w:jc w:val="both"/>
        <w:rPr>
          <w:color w:val="000000"/>
          <w:szCs w:val="24"/>
        </w:rPr>
      </w:pPr>
      <w:r>
        <w:rPr>
          <w:color w:val="000000"/>
          <w:szCs w:val="24"/>
        </w:rPr>
        <w:lastRenderedPageBreak/>
        <w:t xml:space="preserve">Keva hoitaa kirkon eläkelain mukaisen eläketurvan täytäntöönpanon. Keva hoitaa myös aktuaaritoimen, vuosittaisen eläkevastuulaskennan sekä eläkemaksujen keräämisen. Kirkon keskusrahaston vastuulla on eläkejärjestelmän rahoittaminen sekä eläkerahaston sijoitustoiminta. </w:t>
      </w:r>
    </w:p>
    <w:p w:rsidR="00DC6F02" w:rsidRDefault="00DC6F02" w:rsidP="00DC6F02">
      <w:pPr>
        <w:autoSpaceDE w:val="0"/>
        <w:autoSpaceDN w:val="0"/>
        <w:adjustRightInd w:val="0"/>
        <w:rPr>
          <w:color w:val="000000"/>
          <w:szCs w:val="24"/>
        </w:rPr>
      </w:pPr>
    </w:p>
    <w:p w:rsidR="00DC6F02" w:rsidRDefault="00DC6F02" w:rsidP="00590DA9">
      <w:pPr>
        <w:tabs>
          <w:tab w:val="left" w:pos="0"/>
          <w:tab w:val="left" w:pos="1303"/>
          <w:tab w:val="left" w:pos="2606"/>
          <w:tab w:val="left" w:pos="3909"/>
          <w:tab w:val="left" w:pos="5212"/>
          <w:tab w:val="left" w:pos="6516"/>
          <w:tab w:val="left" w:pos="7819"/>
          <w:tab w:val="left" w:pos="9122"/>
        </w:tabs>
        <w:autoSpaceDE w:val="0"/>
        <w:autoSpaceDN w:val="0"/>
        <w:adjustRightInd w:val="0"/>
        <w:jc w:val="both"/>
        <w:rPr>
          <w:rFonts w:ascii="Arial" w:hAnsi="Arial" w:cs="Arial"/>
          <w:color w:val="000000"/>
          <w:sz w:val="22"/>
          <w:szCs w:val="22"/>
        </w:rPr>
      </w:pPr>
      <w:r>
        <w:rPr>
          <w:color w:val="000000"/>
          <w:szCs w:val="24"/>
        </w:rPr>
        <w:t>Uuden kirkollisveroperusteisen eläkerahastomaksun kerääminen käynnistyi vuonna 2013. Maksun tarkoituksena on kasvattaa kirkon eläkerahastoa tietyn määräajan (10 v) sen varmistamiseksi, että eläkerahaston varat riittävät selviytymään tulevina vuosina, jolloin vanhuuseläkemenot nousevat hyvin voimakkaasti. Lakiin asetettu maksukatto on 5 % kirkollisverotuloista. Kirkolliskokous vahvisti eläkerahastomaksun suuruudeksi vuodelle 2014  1,2 %, joka tuottaa n. 10,6 milj. euroa.</w:t>
      </w:r>
      <w:r>
        <w:rPr>
          <w:rFonts w:ascii="Arial" w:hAnsi="Arial" w:cs="Arial"/>
          <w:color w:val="000000"/>
          <w:sz w:val="22"/>
          <w:szCs w:val="22"/>
        </w:rPr>
        <w:t xml:space="preserve"> </w:t>
      </w:r>
    </w:p>
    <w:p w:rsidR="00DC6F02" w:rsidRDefault="00DC6F02" w:rsidP="00590DA9">
      <w:pPr>
        <w:autoSpaceDE w:val="0"/>
        <w:autoSpaceDN w:val="0"/>
        <w:adjustRightInd w:val="0"/>
        <w:jc w:val="both"/>
        <w:rPr>
          <w:rFonts w:ascii="Arial" w:hAnsi="Arial" w:cs="Arial"/>
          <w:color w:val="000000"/>
          <w:sz w:val="22"/>
          <w:szCs w:val="22"/>
        </w:rPr>
      </w:pPr>
    </w:p>
    <w:p w:rsidR="00DC6F02" w:rsidRDefault="00DC6F02" w:rsidP="00590DA9">
      <w:pPr>
        <w:autoSpaceDE w:val="0"/>
        <w:autoSpaceDN w:val="0"/>
        <w:adjustRightInd w:val="0"/>
        <w:jc w:val="both"/>
        <w:rPr>
          <w:color w:val="000000"/>
          <w:szCs w:val="24"/>
        </w:rPr>
      </w:pPr>
      <w:r>
        <w:rPr>
          <w:color w:val="000000"/>
          <w:szCs w:val="24"/>
        </w:rPr>
        <w:t>Vuosi 2014 on käynnistynyt eläkerahaston sijoitustoiminnan osalta heikohkosti, eläkerahaston tuotto 28.2.2014 (YTD) oli 0,7 % (indeksi 1,1 %) ja rahaston koko 1154 milj. euroa. Kirkon eläkerahaston sijoitussuunnitelmassa rahaston pitkän aikavälin tuottotavoite on 6 %, joka vastaa reaalituottotavoitetta 4 %.  Tuottotavoitteen saavuttaminen vuonna 2014 saattaa olla haasteellista.</w:t>
      </w:r>
    </w:p>
    <w:p w:rsidR="00DC6F02" w:rsidRDefault="00DC6F02" w:rsidP="00DC6F02">
      <w:pPr>
        <w:autoSpaceDE w:val="0"/>
        <w:autoSpaceDN w:val="0"/>
        <w:adjustRightInd w:val="0"/>
        <w:rPr>
          <w:color w:val="000000"/>
          <w:szCs w:val="24"/>
        </w:rPr>
      </w:pPr>
    </w:p>
    <w:p w:rsidR="00DC6F02" w:rsidRDefault="00DC6F02" w:rsidP="00DC6F02">
      <w:pPr>
        <w:autoSpaceDE w:val="0"/>
        <w:autoSpaceDN w:val="0"/>
        <w:adjustRightInd w:val="0"/>
        <w:rPr>
          <w:color w:val="000000"/>
          <w:szCs w:val="24"/>
          <w:u w:val="single"/>
        </w:rPr>
      </w:pPr>
      <w:r>
        <w:rPr>
          <w:color w:val="000000"/>
          <w:szCs w:val="24"/>
          <w:u w:val="single"/>
        </w:rPr>
        <w:t>Kirkon yhteinen toiminta</w:t>
      </w:r>
    </w:p>
    <w:p w:rsidR="00DC6F02" w:rsidRDefault="00DC6F02" w:rsidP="00DC6F02">
      <w:pPr>
        <w:autoSpaceDE w:val="0"/>
        <w:autoSpaceDN w:val="0"/>
        <w:adjustRightInd w:val="0"/>
        <w:rPr>
          <w:color w:val="000000"/>
          <w:szCs w:val="24"/>
          <w:u w:val="single"/>
        </w:rPr>
      </w:pPr>
    </w:p>
    <w:p w:rsidR="00DC6F02" w:rsidRDefault="00DC6F02" w:rsidP="00590DA9">
      <w:pPr>
        <w:autoSpaceDE w:val="0"/>
        <w:autoSpaceDN w:val="0"/>
        <w:adjustRightInd w:val="0"/>
        <w:jc w:val="both"/>
        <w:rPr>
          <w:color w:val="000000"/>
          <w:szCs w:val="24"/>
        </w:rPr>
      </w:pPr>
      <w:r>
        <w:rPr>
          <w:color w:val="000000"/>
          <w:szCs w:val="24"/>
        </w:rPr>
        <w:t xml:space="preserve">Vuoden 2014 talousarviossa tilikauden alijäämä on -3,6 milj. euroa. </w:t>
      </w:r>
    </w:p>
    <w:p w:rsidR="00DC6F02" w:rsidRDefault="00DC6F02" w:rsidP="00590DA9">
      <w:pPr>
        <w:autoSpaceDE w:val="0"/>
        <w:autoSpaceDN w:val="0"/>
        <w:adjustRightInd w:val="0"/>
        <w:jc w:val="both"/>
        <w:rPr>
          <w:color w:val="000000"/>
          <w:szCs w:val="24"/>
        </w:rPr>
      </w:pPr>
    </w:p>
    <w:p w:rsidR="00DC6F02" w:rsidRDefault="00DC6F02" w:rsidP="00590DA9">
      <w:pPr>
        <w:autoSpaceDE w:val="0"/>
        <w:autoSpaceDN w:val="0"/>
        <w:adjustRightInd w:val="0"/>
        <w:jc w:val="both"/>
        <w:rPr>
          <w:color w:val="000000"/>
          <w:szCs w:val="24"/>
        </w:rPr>
      </w:pPr>
      <w:r>
        <w:rPr>
          <w:color w:val="000000"/>
          <w:szCs w:val="24"/>
        </w:rPr>
        <w:t xml:space="preserve">On mahdollista, että tilikauden tulos on hieman ennakoitua parempi. Rakennusavustushakemuksia on tullut varsin vähän. Arvio on, että 4,5 milj. euron määrärahasta osa jää käyttämättä. </w:t>
      </w:r>
    </w:p>
    <w:p w:rsidR="00DC6F02" w:rsidRDefault="00DC6F02" w:rsidP="00590DA9">
      <w:pPr>
        <w:autoSpaceDE w:val="0"/>
        <w:autoSpaceDN w:val="0"/>
        <w:adjustRightInd w:val="0"/>
        <w:jc w:val="both"/>
        <w:rPr>
          <w:color w:val="000000"/>
          <w:szCs w:val="24"/>
        </w:rPr>
      </w:pPr>
      <w:r>
        <w:rPr>
          <w:color w:val="000000"/>
          <w:szCs w:val="24"/>
        </w:rPr>
        <w:tab/>
      </w:r>
    </w:p>
    <w:p w:rsidR="00DC6F02" w:rsidRDefault="00DC6F02" w:rsidP="00590DA9">
      <w:pPr>
        <w:autoSpaceDE w:val="0"/>
        <w:autoSpaceDN w:val="0"/>
        <w:adjustRightInd w:val="0"/>
        <w:jc w:val="both"/>
        <w:rPr>
          <w:color w:val="000000"/>
          <w:szCs w:val="24"/>
        </w:rPr>
      </w:pPr>
      <w:r>
        <w:rPr>
          <w:color w:val="000000"/>
          <w:szCs w:val="24"/>
        </w:rPr>
        <w:t>Muilta osin vuoden 2014 talousarvio toteutunee kirkolliskokouksen päättämällä tavalla.</w:t>
      </w:r>
    </w:p>
    <w:p w:rsidR="00DC6F02" w:rsidRDefault="00DC6F02" w:rsidP="00DC6F02">
      <w:pPr>
        <w:autoSpaceDE w:val="0"/>
        <w:autoSpaceDN w:val="0"/>
        <w:adjustRightInd w:val="0"/>
        <w:rPr>
          <w:color w:val="000000"/>
          <w:szCs w:val="24"/>
        </w:rPr>
      </w:pPr>
    </w:p>
    <w:p w:rsidR="00DC6F02" w:rsidRDefault="00DC6F02" w:rsidP="00DC6F02">
      <w:pPr>
        <w:autoSpaceDE w:val="0"/>
        <w:autoSpaceDN w:val="0"/>
        <w:adjustRightInd w:val="0"/>
        <w:rPr>
          <w:color w:val="000000"/>
          <w:szCs w:val="24"/>
          <w:u w:val="single"/>
        </w:rPr>
      </w:pPr>
      <w:r>
        <w:rPr>
          <w:color w:val="000000"/>
          <w:szCs w:val="24"/>
          <w:u w:val="single"/>
        </w:rPr>
        <w:t>Kirkon palvelukeskus, Kipa</w:t>
      </w:r>
    </w:p>
    <w:p w:rsidR="00DC6F02" w:rsidRDefault="00DC6F02" w:rsidP="00DC6F02">
      <w:pPr>
        <w:autoSpaceDE w:val="0"/>
        <w:autoSpaceDN w:val="0"/>
        <w:adjustRightInd w:val="0"/>
        <w:rPr>
          <w:color w:val="000000"/>
          <w:szCs w:val="24"/>
          <w:u w:val="single"/>
        </w:rPr>
      </w:pPr>
    </w:p>
    <w:p w:rsidR="00DC6F02" w:rsidRDefault="00DC6F02" w:rsidP="00DC6F02">
      <w:pPr>
        <w:autoSpaceDE w:val="0"/>
        <w:autoSpaceDN w:val="0"/>
        <w:adjustRightInd w:val="0"/>
        <w:ind w:left="360" w:hanging="360"/>
        <w:rPr>
          <w:color w:val="000000"/>
          <w:szCs w:val="24"/>
        </w:rPr>
      </w:pPr>
      <w:r>
        <w:rPr>
          <w:color w:val="000000"/>
          <w:szCs w:val="24"/>
        </w:rPr>
        <w:t>1.</w:t>
      </w:r>
      <w:r>
        <w:rPr>
          <w:color w:val="000000"/>
          <w:szCs w:val="24"/>
        </w:rPr>
        <w:tab/>
        <w:t>Lahden ja Kuopion toimipisteitä ei perusteta</w:t>
      </w:r>
    </w:p>
    <w:p w:rsidR="00DC6F02" w:rsidRDefault="00DC6F02" w:rsidP="00DC6F02">
      <w:pPr>
        <w:autoSpaceDE w:val="0"/>
        <w:autoSpaceDN w:val="0"/>
        <w:adjustRightInd w:val="0"/>
        <w:rPr>
          <w:color w:val="000000"/>
          <w:szCs w:val="24"/>
        </w:rPr>
      </w:pPr>
    </w:p>
    <w:p w:rsidR="00DC6F02" w:rsidRDefault="00DC6F02" w:rsidP="00590DA9">
      <w:pPr>
        <w:autoSpaceDE w:val="0"/>
        <w:autoSpaceDN w:val="0"/>
        <w:adjustRightInd w:val="0"/>
        <w:jc w:val="both"/>
        <w:rPr>
          <w:color w:val="000000"/>
          <w:szCs w:val="24"/>
        </w:rPr>
      </w:pPr>
      <w:r>
        <w:rPr>
          <w:color w:val="000000"/>
          <w:szCs w:val="24"/>
        </w:rPr>
        <w:t>Kirkkohallituksen täysistunto päätti 1.4.2014, että Lahden ja Kuopion toimipisteitä ei perusteta. Kansliapäällikkö antaa aiheesta erillisen ilmoituksen kirkolliskokoukselle.</w:t>
      </w:r>
    </w:p>
    <w:p w:rsidR="00DC6F02" w:rsidRDefault="00DC6F02" w:rsidP="00DC6F02">
      <w:pPr>
        <w:autoSpaceDE w:val="0"/>
        <w:autoSpaceDN w:val="0"/>
        <w:adjustRightInd w:val="0"/>
        <w:rPr>
          <w:color w:val="000000"/>
          <w:szCs w:val="24"/>
        </w:rPr>
      </w:pPr>
    </w:p>
    <w:p w:rsidR="00DC6F02" w:rsidRDefault="00DC6F02" w:rsidP="00DC6F02">
      <w:pPr>
        <w:autoSpaceDE w:val="0"/>
        <w:autoSpaceDN w:val="0"/>
        <w:adjustRightInd w:val="0"/>
        <w:ind w:left="360" w:hanging="360"/>
        <w:rPr>
          <w:color w:val="000000"/>
          <w:szCs w:val="24"/>
        </w:rPr>
      </w:pPr>
      <w:r>
        <w:rPr>
          <w:color w:val="000000"/>
          <w:szCs w:val="24"/>
        </w:rPr>
        <w:t>2.</w:t>
      </w:r>
      <w:r>
        <w:rPr>
          <w:color w:val="000000"/>
          <w:szCs w:val="24"/>
        </w:rPr>
        <w:tab/>
        <w:t>Kirkon palvelukeskuksen prosesseihin kohdistunut sisäinen tarkastus helmi-maaliskuussa 2014</w:t>
      </w:r>
    </w:p>
    <w:p w:rsidR="00DC6F02" w:rsidRDefault="00DC6F02" w:rsidP="00DC6F02">
      <w:pPr>
        <w:autoSpaceDE w:val="0"/>
        <w:autoSpaceDN w:val="0"/>
        <w:adjustRightInd w:val="0"/>
        <w:rPr>
          <w:color w:val="000000"/>
          <w:szCs w:val="24"/>
        </w:rPr>
      </w:pPr>
    </w:p>
    <w:p w:rsidR="00DC6F02" w:rsidRDefault="00DC6F02" w:rsidP="00590DA9">
      <w:pPr>
        <w:autoSpaceDE w:val="0"/>
        <w:autoSpaceDN w:val="0"/>
        <w:adjustRightInd w:val="0"/>
        <w:jc w:val="both"/>
        <w:rPr>
          <w:color w:val="000000"/>
          <w:szCs w:val="24"/>
        </w:rPr>
      </w:pPr>
      <w:r>
        <w:rPr>
          <w:color w:val="000000"/>
          <w:szCs w:val="24"/>
        </w:rPr>
        <w:t xml:space="preserve">Tarkastus kohdentui Kipan valittujen prosessien nykytilan, kehitystoimenpiteiden ja niihin liittyvien kontrollien arviointiin. Tarkastuksessa käytiin läpi niitä merkittäviksi arvioituja teemoja, jotka nousivat esille alkuvuodesta 2014 eri yhteyksissä kerätyissä Kipan asiakkaiden kommenteissa. </w:t>
      </w:r>
    </w:p>
    <w:p w:rsidR="00DC6F02" w:rsidRDefault="00DC6F02" w:rsidP="00590DA9">
      <w:pPr>
        <w:autoSpaceDE w:val="0"/>
        <w:autoSpaceDN w:val="0"/>
        <w:adjustRightInd w:val="0"/>
        <w:jc w:val="both"/>
        <w:rPr>
          <w:color w:val="000000"/>
          <w:szCs w:val="24"/>
        </w:rPr>
      </w:pPr>
    </w:p>
    <w:p w:rsidR="00DC6F02" w:rsidRDefault="00DC6F02" w:rsidP="00590DA9">
      <w:pPr>
        <w:autoSpaceDE w:val="0"/>
        <w:autoSpaceDN w:val="0"/>
        <w:adjustRightInd w:val="0"/>
        <w:jc w:val="both"/>
        <w:rPr>
          <w:color w:val="000000"/>
          <w:szCs w:val="24"/>
        </w:rPr>
      </w:pPr>
      <w:r>
        <w:rPr>
          <w:color w:val="000000"/>
          <w:szCs w:val="24"/>
        </w:rPr>
        <w:t>Merkittävin asiakkaiden esille nostama huoli koskee Kipan palvelumallin tavoittelemien kustannussäästöjen toteutumistodennäköisyyttä. Tavoitellut kustannussäästöt voidaan jakaa kahteen pääasialliseen osaan: henkilöstömenoista ja tietojärjestelmäkustannuksista saatavat säästöt. Seurakunnalle tilanne näyttäytyy pääsääntöisesti Kipan palvelumaksujen sekä alentuneiden tietojärjestelmä- ja henkilöstökustannusten erotuksena. Asiakaspalautteen mukaan ei ole välittömästi nähtävissä, että seurakuntien kannalta säästöt realisoituisivat ainakaan merkittävällä tavalla. Yhdenmukaisen, säästötavoitteita kohti ohjaamisen tekee varsin hankalaksi se, että seurakunnat ja seurakuntayhtymät tekevät päätökset henkilöstönsä ja mahdollisten Kipa-asiakkuuteen liittyvien toimintatapamuutosten osalta täysin itsenäisesti.</w:t>
      </w:r>
    </w:p>
    <w:p w:rsidR="00DC6F02" w:rsidRDefault="00DC6F02" w:rsidP="00590DA9">
      <w:pPr>
        <w:autoSpaceDE w:val="0"/>
        <w:autoSpaceDN w:val="0"/>
        <w:adjustRightInd w:val="0"/>
        <w:jc w:val="both"/>
        <w:rPr>
          <w:color w:val="000000"/>
          <w:szCs w:val="24"/>
        </w:rPr>
      </w:pPr>
    </w:p>
    <w:p w:rsidR="00DC6F02" w:rsidRDefault="00DC6F02" w:rsidP="00590DA9">
      <w:pPr>
        <w:autoSpaceDE w:val="0"/>
        <w:autoSpaceDN w:val="0"/>
        <w:adjustRightInd w:val="0"/>
        <w:jc w:val="both"/>
        <w:rPr>
          <w:color w:val="000000"/>
          <w:szCs w:val="24"/>
        </w:rPr>
      </w:pPr>
      <w:r>
        <w:rPr>
          <w:color w:val="000000"/>
          <w:szCs w:val="24"/>
        </w:rPr>
        <w:lastRenderedPageBreak/>
        <w:t>Merkittävimpinä Kipan jo toteuttamina kehitystoimenpiteinä voidaan raportin mukaan pitää osana vastaanottoa toteutettavia johdon foorumeita sekä erilaisia yhteistyöryhmiä. Niillä Kipa toisaalta pyrkii sitouttamaan seurakuntien päätöksentekijöitä ja toisaalta viestimään heille todennäköisistä tai varmuudella toteutuvista toimintatapamuutoksista. Seurakunnissa käyttöönotettavia hyviä käytäntöjä pystytään myös jakamaan seurakuntien perustamien yhteistyöryhmien kautta. Kipalla ei kuitenkaan ole tarjota asiakkaitaan varten kattavaa hyvien käytäntöjen tietopankkia tai vastaavaa tiedonjakokanavaa. Olennaista on, että Kipa osoittaa seurakunnille niitä hyviä käytänteitä ja toimintatapoja, joilla niiden työtä voidaan organisoida uudestaan ja vapauttaa työpanosta talous- ja palkkahallinnon tehtävistä.</w:t>
      </w:r>
    </w:p>
    <w:p w:rsidR="00DC6F02" w:rsidRDefault="00DC6F02" w:rsidP="00590DA9">
      <w:pPr>
        <w:autoSpaceDE w:val="0"/>
        <w:autoSpaceDN w:val="0"/>
        <w:adjustRightInd w:val="0"/>
        <w:jc w:val="both"/>
        <w:rPr>
          <w:color w:val="000000"/>
          <w:szCs w:val="24"/>
        </w:rPr>
      </w:pPr>
    </w:p>
    <w:p w:rsidR="00DC6F02" w:rsidRDefault="00DC6F02" w:rsidP="00590DA9">
      <w:pPr>
        <w:autoSpaceDE w:val="0"/>
        <w:autoSpaceDN w:val="0"/>
        <w:adjustRightInd w:val="0"/>
        <w:jc w:val="both"/>
        <w:rPr>
          <w:color w:val="000000"/>
          <w:szCs w:val="24"/>
        </w:rPr>
      </w:pPr>
      <w:r>
        <w:rPr>
          <w:color w:val="000000"/>
          <w:szCs w:val="24"/>
        </w:rPr>
        <w:t>Ilman seurakuntien sitoutumista ja toimintatapojen muokkaamista edellytykset Kipalle asetettujen kokonaishyötytavoitteiden toteutumisesta ovat huonot. Tarkastuksen perusteella voidaan todeta, että yllä mainitut Kipan toteuttamat toimenpiteet ovat oikean suuntaisia, mutta eivät riittäviä. Kipassa seurakunnille tehtävää viestintää tulee yksilöidä seurakunnan lähtötilanteen mukaisesti. lähtötilanne kartoitetaan osana vastaanottoprojektia. Kustannussäästöanalyysi tulee dokumentoida kunkin asiakkaan osalta ja Kipan tulisi avustaa tässä tarvittaessa. Tällä hetkellä noin kolmannes asiakkaista on dokumentoinut kustannussäästöanalyysin. Lisäksi Kipan tulisi auttaa asiakkaita löytämään niitä kohteita, joissa tehokkuutta voidaan lisätä.</w:t>
      </w:r>
    </w:p>
    <w:p w:rsidR="00DC6F02" w:rsidRDefault="00DC6F02" w:rsidP="00590DA9">
      <w:pPr>
        <w:autoSpaceDE w:val="0"/>
        <w:autoSpaceDN w:val="0"/>
        <w:adjustRightInd w:val="0"/>
        <w:jc w:val="both"/>
        <w:rPr>
          <w:color w:val="000000"/>
          <w:szCs w:val="24"/>
        </w:rPr>
      </w:pPr>
    </w:p>
    <w:p w:rsidR="00DC6F02" w:rsidRDefault="00DC6F02" w:rsidP="00590DA9">
      <w:pPr>
        <w:autoSpaceDE w:val="0"/>
        <w:autoSpaceDN w:val="0"/>
        <w:adjustRightInd w:val="0"/>
        <w:jc w:val="both"/>
        <w:rPr>
          <w:color w:val="000000"/>
          <w:szCs w:val="24"/>
        </w:rPr>
      </w:pPr>
      <w:r>
        <w:rPr>
          <w:color w:val="000000"/>
          <w:szCs w:val="24"/>
        </w:rPr>
        <w:t>Raportin merkittävimmät havainnot esiteltiin kirkkohallituksen täysistunnolle 1.4.2014. Samalla päätettiin uuden laajemman sisäisen tarkastuksen teettämisestä. Sen tavoitteena on tehdä kokonaisvaltainen selvitys Kipan vaikutuksista seurakuntiin erityisesti ottaen huomioon Kipan aiheuttamat muutokset eri henkilöstöryhmien työnkuviin.</w:t>
      </w:r>
    </w:p>
    <w:p w:rsidR="00DC6F02" w:rsidRDefault="00DC6F02" w:rsidP="00DC6F02">
      <w:pPr>
        <w:autoSpaceDE w:val="0"/>
        <w:autoSpaceDN w:val="0"/>
        <w:adjustRightInd w:val="0"/>
        <w:rPr>
          <w:color w:val="000000"/>
          <w:szCs w:val="24"/>
        </w:rPr>
      </w:pPr>
    </w:p>
    <w:p w:rsidR="00DC6F02" w:rsidRDefault="00DC6F02" w:rsidP="00DC6F02">
      <w:pPr>
        <w:autoSpaceDE w:val="0"/>
        <w:autoSpaceDN w:val="0"/>
        <w:adjustRightInd w:val="0"/>
        <w:ind w:left="360" w:hanging="360"/>
        <w:rPr>
          <w:color w:val="000000"/>
          <w:szCs w:val="24"/>
        </w:rPr>
      </w:pPr>
      <w:r>
        <w:rPr>
          <w:color w:val="000000"/>
          <w:szCs w:val="24"/>
        </w:rPr>
        <w:t>3.</w:t>
      </w:r>
      <w:r>
        <w:rPr>
          <w:color w:val="000000"/>
          <w:szCs w:val="24"/>
        </w:rPr>
        <w:tab/>
        <w:t>Talousarvion toteutuminen</w:t>
      </w:r>
    </w:p>
    <w:p w:rsidR="00DC6F02" w:rsidRDefault="00DC6F02" w:rsidP="00DC6F02">
      <w:pPr>
        <w:autoSpaceDE w:val="0"/>
        <w:autoSpaceDN w:val="0"/>
        <w:adjustRightInd w:val="0"/>
        <w:rPr>
          <w:color w:val="000000"/>
          <w:szCs w:val="24"/>
        </w:rPr>
      </w:pPr>
    </w:p>
    <w:p w:rsidR="00DC6F02" w:rsidRDefault="00DC6F02" w:rsidP="00590DA9">
      <w:pPr>
        <w:autoSpaceDE w:val="0"/>
        <w:autoSpaceDN w:val="0"/>
        <w:adjustRightInd w:val="0"/>
        <w:jc w:val="both"/>
        <w:rPr>
          <w:color w:val="000000"/>
          <w:szCs w:val="24"/>
        </w:rPr>
      </w:pPr>
      <w:r>
        <w:rPr>
          <w:color w:val="000000"/>
          <w:szCs w:val="24"/>
        </w:rPr>
        <w:t>Vuoden 2014 tal</w:t>
      </w:r>
      <w:r w:rsidR="00590DA9">
        <w:rPr>
          <w:color w:val="000000"/>
          <w:szCs w:val="24"/>
        </w:rPr>
        <w:t>ousarviossa Kipan alijäämä on -</w:t>
      </w:r>
      <w:r>
        <w:rPr>
          <w:color w:val="000000"/>
          <w:szCs w:val="24"/>
        </w:rPr>
        <w:t xml:space="preserve">4,4 milj. euroa. </w:t>
      </w:r>
    </w:p>
    <w:p w:rsidR="00DC6F02" w:rsidRDefault="00DC6F02" w:rsidP="00590DA9">
      <w:pPr>
        <w:autoSpaceDE w:val="0"/>
        <w:autoSpaceDN w:val="0"/>
        <w:adjustRightInd w:val="0"/>
        <w:jc w:val="both"/>
        <w:rPr>
          <w:color w:val="000000"/>
          <w:szCs w:val="24"/>
        </w:rPr>
      </w:pPr>
    </w:p>
    <w:p w:rsidR="00DC6F02" w:rsidRDefault="00DC6F02" w:rsidP="00590DA9">
      <w:pPr>
        <w:autoSpaceDE w:val="0"/>
        <w:autoSpaceDN w:val="0"/>
        <w:adjustRightInd w:val="0"/>
        <w:jc w:val="both"/>
        <w:rPr>
          <w:color w:val="000000"/>
          <w:szCs w:val="24"/>
        </w:rPr>
      </w:pPr>
      <w:r>
        <w:rPr>
          <w:color w:val="000000"/>
          <w:szCs w:val="24"/>
        </w:rPr>
        <w:t xml:space="preserve">Henkilöstömäärän etupainotteisuustarve on osoittautunut suuremmaksi kuin mitä talousarviota 2014 tehtäessä arvioitiin. Henkilöstötarpeen kasvuun vaikuttaa mm.  </w:t>
      </w:r>
    </w:p>
    <w:p w:rsidR="00DC6F02" w:rsidRDefault="00DC6F02" w:rsidP="00590DA9">
      <w:pPr>
        <w:autoSpaceDE w:val="0"/>
        <w:autoSpaceDN w:val="0"/>
        <w:adjustRightInd w:val="0"/>
        <w:ind w:left="720" w:hanging="360"/>
        <w:jc w:val="both"/>
        <w:rPr>
          <w:color w:val="000000"/>
          <w:szCs w:val="24"/>
        </w:rPr>
      </w:pPr>
      <w:r>
        <w:rPr>
          <w:rFonts w:ascii="Symbol" w:hAnsi="Symbol" w:cs="Symbol"/>
          <w:color w:val="000000"/>
          <w:szCs w:val="24"/>
        </w:rPr>
        <w:t></w:t>
      </w:r>
      <w:r>
        <w:rPr>
          <w:rFonts w:ascii="Symbol" w:hAnsi="Symbol" w:cs="Symbol"/>
          <w:color w:val="000000"/>
          <w:szCs w:val="24"/>
        </w:rPr>
        <w:tab/>
      </w:r>
      <w:r>
        <w:rPr>
          <w:color w:val="000000"/>
          <w:szCs w:val="24"/>
        </w:rPr>
        <w:t xml:space="preserve">Asiakkaan vastaanottoprosessia ja asiakastukea on kehitetty saatujen asiakaspalautteiden perusteella. </w:t>
      </w:r>
    </w:p>
    <w:p w:rsidR="00DC6F02" w:rsidRDefault="00DC6F02" w:rsidP="00590DA9">
      <w:pPr>
        <w:autoSpaceDE w:val="0"/>
        <w:autoSpaceDN w:val="0"/>
        <w:adjustRightInd w:val="0"/>
        <w:ind w:left="720" w:hanging="360"/>
        <w:jc w:val="both"/>
        <w:rPr>
          <w:color w:val="000000"/>
          <w:szCs w:val="24"/>
        </w:rPr>
      </w:pPr>
      <w:r>
        <w:rPr>
          <w:rFonts w:ascii="Symbol" w:hAnsi="Symbol" w:cs="Symbol"/>
          <w:color w:val="000000"/>
          <w:szCs w:val="24"/>
        </w:rPr>
        <w:t></w:t>
      </w:r>
      <w:r>
        <w:rPr>
          <w:rFonts w:ascii="Symbol" w:hAnsi="Symbol" w:cs="Symbol"/>
          <w:color w:val="000000"/>
          <w:szCs w:val="24"/>
        </w:rPr>
        <w:tab/>
      </w:r>
      <w:r>
        <w:rPr>
          <w:color w:val="000000"/>
          <w:szCs w:val="24"/>
        </w:rPr>
        <w:t xml:space="preserve">Asiakkaiden kouluttaminen on vaatinut enemmän resursseja kun alun perin arvioitiin. </w:t>
      </w:r>
    </w:p>
    <w:p w:rsidR="00DC6F02" w:rsidRDefault="00DC6F02" w:rsidP="00590DA9">
      <w:pPr>
        <w:autoSpaceDE w:val="0"/>
        <w:autoSpaceDN w:val="0"/>
        <w:adjustRightInd w:val="0"/>
        <w:ind w:left="720" w:hanging="360"/>
        <w:jc w:val="both"/>
        <w:rPr>
          <w:color w:val="000000"/>
          <w:szCs w:val="24"/>
        </w:rPr>
      </w:pPr>
      <w:r>
        <w:rPr>
          <w:rFonts w:ascii="Symbol" w:hAnsi="Symbol" w:cs="Symbol"/>
          <w:color w:val="000000"/>
          <w:szCs w:val="24"/>
        </w:rPr>
        <w:t></w:t>
      </w:r>
      <w:r>
        <w:rPr>
          <w:rFonts w:ascii="Symbol" w:hAnsi="Symbol" w:cs="Symbol"/>
          <w:color w:val="000000"/>
          <w:szCs w:val="24"/>
        </w:rPr>
        <w:tab/>
      </w:r>
      <w:r>
        <w:rPr>
          <w:color w:val="000000"/>
          <w:szCs w:val="24"/>
        </w:rPr>
        <w:t xml:space="preserve">Nopea kasvu ja uusien työntekijöiden rekrytointi sitoo työntekijöiden aikaa perehdyttämiseen. </w:t>
      </w:r>
    </w:p>
    <w:p w:rsidR="00DC6F02" w:rsidRDefault="00DC6F02" w:rsidP="00590DA9">
      <w:pPr>
        <w:autoSpaceDE w:val="0"/>
        <w:autoSpaceDN w:val="0"/>
        <w:adjustRightInd w:val="0"/>
        <w:ind w:left="720" w:hanging="360"/>
        <w:jc w:val="both"/>
        <w:rPr>
          <w:color w:val="000000"/>
          <w:szCs w:val="24"/>
        </w:rPr>
      </w:pPr>
      <w:r>
        <w:rPr>
          <w:rFonts w:ascii="Symbol" w:hAnsi="Symbol" w:cs="Symbol"/>
          <w:color w:val="000000"/>
          <w:szCs w:val="24"/>
        </w:rPr>
        <w:t></w:t>
      </w:r>
      <w:r>
        <w:rPr>
          <w:rFonts w:ascii="Symbol" w:hAnsi="Symbol" w:cs="Symbol"/>
          <w:color w:val="000000"/>
          <w:szCs w:val="24"/>
        </w:rPr>
        <w:tab/>
      </w:r>
      <w:r>
        <w:rPr>
          <w:color w:val="000000"/>
          <w:szCs w:val="24"/>
        </w:rPr>
        <w:t>Seurakuntien tukemisen tarve asiakkaaksi siirtymisvaiheessa ja tuotannon alkuvaiheessa on osoittautunut arvioitua suuremmaksi.</w:t>
      </w:r>
    </w:p>
    <w:p w:rsidR="00DC6F02" w:rsidRDefault="00DC6F02" w:rsidP="00590DA9">
      <w:pPr>
        <w:autoSpaceDE w:val="0"/>
        <w:autoSpaceDN w:val="0"/>
        <w:adjustRightInd w:val="0"/>
        <w:jc w:val="both"/>
        <w:rPr>
          <w:color w:val="000000"/>
          <w:szCs w:val="24"/>
        </w:rPr>
      </w:pPr>
    </w:p>
    <w:p w:rsidR="00DC6F02" w:rsidRDefault="00DC6F02" w:rsidP="00590DA9">
      <w:pPr>
        <w:autoSpaceDE w:val="0"/>
        <w:autoSpaceDN w:val="0"/>
        <w:adjustRightInd w:val="0"/>
        <w:jc w:val="both"/>
        <w:rPr>
          <w:color w:val="000000"/>
          <w:szCs w:val="24"/>
        </w:rPr>
      </w:pPr>
      <w:r>
        <w:rPr>
          <w:color w:val="000000"/>
          <w:szCs w:val="24"/>
        </w:rPr>
        <w:t>On mahdollista, että Kipan vuoden 2014 alijäämä on jonkin verran budjetoitua suurempi.</w:t>
      </w:r>
    </w:p>
    <w:p w:rsidR="00DC6F02" w:rsidRDefault="00DC6F02" w:rsidP="00DC6F02">
      <w:pPr>
        <w:autoSpaceDE w:val="0"/>
        <w:autoSpaceDN w:val="0"/>
        <w:adjustRightInd w:val="0"/>
        <w:rPr>
          <w:color w:val="000000"/>
          <w:szCs w:val="24"/>
        </w:rPr>
      </w:pPr>
    </w:p>
    <w:p w:rsidR="00DC6F02" w:rsidRDefault="00DC6F02" w:rsidP="00DC6F02">
      <w:pPr>
        <w:autoSpaceDE w:val="0"/>
        <w:autoSpaceDN w:val="0"/>
        <w:adjustRightInd w:val="0"/>
        <w:rPr>
          <w:color w:val="000000"/>
          <w:szCs w:val="24"/>
        </w:rPr>
      </w:pPr>
    </w:p>
    <w:p w:rsidR="00DC6F02" w:rsidRDefault="00DC6F02" w:rsidP="00DC6F02">
      <w:pPr>
        <w:autoSpaceDE w:val="0"/>
        <w:autoSpaceDN w:val="0"/>
        <w:adjustRightInd w:val="0"/>
        <w:rPr>
          <w:b/>
          <w:bCs/>
          <w:i/>
          <w:iCs/>
          <w:color w:val="000000"/>
          <w:szCs w:val="24"/>
        </w:rPr>
      </w:pPr>
      <w:r>
        <w:rPr>
          <w:b/>
          <w:bCs/>
          <w:i/>
          <w:iCs/>
          <w:color w:val="000000"/>
          <w:szCs w:val="24"/>
        </w:rPr>
        <w:t>Kirkon yhteisen t</w:t>
      </w:r>
      <w:r w:rsidR="00ED033A">
        <w:rPr>
          <w:b/>
          <w:bCs/>
          <w:i/>
          <w:iCs/>
          <w:color w:val="000000"/>
          <w:szCs w:val="24"/>
        </w:rPr>
        <w:t>oiminnan kehykset vuosille 2014–</w:t>
      </w:r>
      <w:r>
        <w:rPr>
          <w:b/>
          <w:bCs/>
          <w:i/>
          <w:iCs/>
          <w:color w:val="000000"/>
          <w:szCs w:val="24"/>
        </w:rPr>
        <w:t>2016 (Kirkkohallitus 22.4.2014)</w:t>
      </w:r>
    </w:p>
    <w:p w:rsidR="00DC6F02" w:rsidRDefault="00DC6F02" w:rsidP="00DC6F02">
      <w:pPr>
        <w:autoSpaceDE w:val="0"/>
        <w:autoSpaceDN w:val="0"/>
        <w:adjustRightInd w:val="0"/>
        <w:rPr>
          <w:b/>
          <w:bCs/>
          <w:i/>
          <w:iCs/>
          <w:color w:val="000000"/>
          <w:szCs w:val="24"/>
        </w:rPr>
      </w:pPr>
    </w:p>
    <w:p w:rsidR="00DC6F02" w:rsidRDefault="00DC6F02" w:rsidP="00590DA9">
      <w:pPr>
        <w:autoSpaceDE w:val="0"/>
        <w:autoSpaceDN w:val="0"/>
        <w:adjustRightInd w:val="0"/>
        <w:jc w:val="both"/>
        <w:rPr>
          <w:color w:val="000000"/>
          <w:szCs w:val="24"/>
        </w:rPr>
      </w:pPr>
      <w:r>
        <w:rPr>
          <w:color w:val="000000"/>
          <w:szCs w:val="24"/>
        </w:rPr>
        <w:t>Kirkon yhteinen toiminta sisältää osa-alueet Kirkkohallitus, hiippakunnallinen toiminta ja avustukset. Tämä laadintaohje koskee Kirkkohallituksen suunnitteluyksiköitä ja hiippakuntia.</w:t>
      </w:r>
    </w:p>
    <w:p w:rsidR="00DC6F02" w:rsidRDefault="00DC6F02" w:rsidP="00590DA9">
      <w:pPr>
        <w:autoSpaceDE w:val="0"/>
        <w:autoSpaceDN w:val="0"/>
        <w:adjustRightInd w:val="0"/>
        <w:jc w:val="both"/>
        <w:rPr>
          <w:color w:val="000000"/>
          <w:szCs w:val="24"/>
        </w:rPr>
      </w:pPr>
    </w:p>
    <w:p w:rsidR="00DC6F02" w:rsidRDefault="00DC6F02" w:rsidP="00590DA9">
      <w:pPr>
        <w:autoSpaceDE w:val="0"/>
        <w:autoSpaceDN w:val="0"/>
        <w:adjustRightInd w:val="0"/>
        <w:jc w:val="both"/>
        <w:rPr>
          <w:color w:val="000000"/>
          <w:szCs w:val="24"/>
        </w:rPr>
      </w:pPr>
      <w:r>
        <w:rPr>
          <w:color w:val="000000"/>
          <w:szCs w:val="24"/>
        </w:rPr>
        <w:t>Kirkon keskusrahasto rahoittaa kirkon yhteisen toiminnan osuuden laskennallisen kirkollisveron (verovuoden verotulo jaettuna kirkollisveroprosentilla) perusteella perittävällä perusmaksulla. Perusmaksutulot määräytyvät kaksi vuotta aikaisempien verotulojen mukaan (vuoden 2015 pe</w:t>
      </w:r>
      <w:r>
        <w:rPr>
          <w:color w:val="000000"/>
          <w:szCs w:val="24"/>
        </w:rPr>
        <w:lastRenderedPageBreak/>
        <w:t xml:space="preserve">rusmaksutulot perustuvat vuoden 2013 verotuloihin). Näin ollen seurakuntien verotuloissa mahdollisesti tapahtuvat muutokset vaikuttavat automaattisesti keskusrahaston tuloihin kahden vuoden viiveellä.  </w:t>
      </w:r>
    </w:p>
    <w:p w:rsidR="00DC6F02" w:rsidRDefault="00DC6F02" w:rsidP="00590DA9">
      <w:pPr>
        <w:autoSpaceDE w:val="0"/>
        <w:autoSpaceDN w:val="0"/>
        <w:adjustRightInd w:val="0"/>
        <w:jc w:val="both"/>
        <w:rPr>
          <w:color w:val="000000"/>
          <w:szCs w:val="24"/>
        </w:rPr>
      </w:pPr>
    </w:p>
    <w:p w:rsidR="00DC6F02" w:rsidRDefault="00DC6F02" w:rsidP="00590DA9">
      <w:pPr>
        <w:autoSpaceDE w:val="0"/>
        <w:autoSpaceDN w:val="0"/>
        <w:adjustRightInd w:val="0"/>
        <w:jc w:val="both"/>
        <w:rPr>
          <w:color w:val="000000"/>
          <w:szCs w:val="24"/>
        </w:rPr>
      </w:pPr>
      <w:r>
        <w:rPr>
          <w:color w:val="000000"/>
          <w:szCs w:val="24"/>
        </w:rPr>
        <w:t xml:space="preserve">Alla olevassa taulukossa on kirkolliskokouksen vahvistama toiminta- ja </w:t>
      </w:r>
      <w:r w:rsidR="00ED033A">
        <w:rPr>
          <w:color w:val="000000"/>
          <w:szCs w:val="24"/>
        </w:rPr>
        <w:t>taloussuunnitelma vuosille 2014–</w:t>
      </w:r>
      <w:r>
        <w:rPr>
          <w:color w:val="000000"/>
          <w:szCs w:val="24"/>
        </w:rPr>
        <w:t>2016.</w:t>
      </w:r>
    </w:p>
    <w:p w:rsidR="00DC6F02" w:rsidRDefault="00DC6F02" w:rsidP="00DC6F02">
      <w:pPr>
        <w:autoSpaceDE w:val="0"/>
        <w:autoSpaceDN w:val="0"/>
        <w:adjustRightInd w:val="0"/>
        <w:rPr>
          <w:color w:val="000000"/>
          <w:szCs w:val="24"/>
        </w:rPr>
      </w:pPr>
    </w:p>
    <w:p w:rsidR="00590DA9" w:rsidRDefault="00590DA9" w:rsidP="00DC6F02">
      <w:pPr>
        <w:autoSpaceDE w:val="0"/>
        <w:autoSpaceDN w:val="0"/>
        <w:adjustRightInd w:val="0"/>
        <w:rPr>
          <w:color w:val="000000"/>
          <w:szCs w:val="24"/>
        </w:rPr>
      </w:pPr>
    </w:p>
    <w:p w:rsidR="00590DA9" w:rsidRDefault="00590DA9" w:rsidP="00DC6F02">
      <w:pPr>
        <w:autoSpaceDE w:val="0"/>
        <w:autoSpaceDN w:val="0"/>
        <w:adjustRightInd w:val="0"/>
        <w:rPr>
          <w:color w:val="000000"/>
          <w:szCs w:val="24"/>
        </w:rPr>
      </w:pPr>
    </w:p>
    <w:tbl>
      <w:tblPr>
        <w:tblW w:w="0" w:type="auto"/>
        <w:tblInd w:w="70" w:type="dxa"/>
        <w:tblLayout w:type="fixed"/>
        <w:tblCellMar>
          <w:left w:w="70" w:type="dxa"/>
          <w:right w:w="70" w:type="dxa"/>
        </w:tblCellMar>
        <w:tblLook w:val="00A0" w:firstRow="1" w:lastRow="0" w:firstColumn="1" w:lastColumn="0" w:noHBand="0" w:noVBand="0"/>
      </w:tblPr>
      <w:tblGrid>
        <w:gridCol w:w="2740"/>
        <w:gridCol w:w="1120"/>
        <w:gridCol w:w="1160"/>
        <w:gridCol w:w="1120"/>
        <w:gridCol w:w="920"/>
        <w:gridCol w:w="1120"/>
      </w:tblGrid>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1.000 euroa</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r>
              <w:rPr>
                <w:color w:val="000000"/>
                <w:sz w:val="22"/>
                <w:szCs w:val="22"/>
              </w:rPr>
              <w:t>TA</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r>
              <w:rPr>
                <w:color w:val="000000"/>
                <w:sz w:val="22"/>
                <w:szCs w:val="22"/>
              </w:rPr>
              <w:t>TTS</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r>
              <w:rPr>
                <w:color w:val="000000"/>
                <w:sz w:val="22"/>
                <w:szCs w:val="22"/>
              </w:rPr>
              <w:t>TTS</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r>
              <w:rPr>
                <w:color w:val="000000"/>
                <w:sz w:val="22"/>
                <w:szCs w:val="22"/>
              </w:rPr>
              <w:t>2014</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r>
              <w:rPr>
                <w:color w:val="000000"/>
                <w:sz w:val="22"/>
                <w:szCs w:val="22"/>
              </w:rPr>
              <w:t>2015</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r>
              <w:rPr>
                <w:color w:val="000000"/>
                <w:sz w:val="22"/>
                <w:szCs w:val="22"/>
              </w:rPr>
              <w:t>2 016</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Kirkkohallitus</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30 339</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i/>
                <w:iCs/>
                <w:color w:val="000000"/>
                <w:sz w:val="20"/>
              </w:rPr>
            </w:pPr>
            <w:r>
              <w:rPr>
                <w:i/>
                <w:iCs/>
                <w:color w:val="000000"/>
                <w:sz w:val="20"/>
              </w:rPr>
              <w:t>-8,3 %</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27 829</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i/>
                <w:iCs/>
                <w:color w:val="000000"/>
                <w:sz w:val="20"/>
              </w:rPr>
            </w:pPr>
            <w:r>
              <w:rPr>
                <w:i/>
                <w:iCs/>
                <w:color w:val="000000"/>
                <w:sz w:val="20"/>
              </w:rPr>
              <w:t>0,5 %</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27 955</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shd w:val="clear" w:color="auto" w:fill="FFFF00"/>
            <w:vAlign w:val="bottom"/>
          </w:tcPr>
          <w:p w:rsidR="00DC6F02" w:rsidRDefault="00DC6F02">
            <w:pPr>
              <w:autoSpaceDE w:val="0"/>
              <w:autoSpaceDN w:val="0"/>
              <w:adjustRightInd w:val="0"/>
              <w:jc w:val="right"/>
              <w:rPr>
                <w:i/>
                <w:iCs/>
                <w:color w:val="000000"/>
                <w:sz w:val="18"/>
                <w:szCs w:val="18"/>
              </w:rPr>
            </w:pPr>
            <w:r>
              <w:rPr>
                <w:i/>
                <w:iCs/>
                <w:color w:val="000000"/>
                <w:sz w:val="18"/>
                <w:szCs w:val="18"/>
              </w:rPr>
              <w:t>Perustoiminta</w:t>
            </w:r>
          </w:p>
        </w:tc>
        <w:tc>
          <w:tcPr>
            <w:tcW w:w="1120" w:type="dxa"/>
            <w:tcBorders>
              <w:top w:val="single" w:sz="6" w:space="0" w:color="000000"/>
              <w:left w:val="single" w:sz="6" w:space="0" w:color="000000"/>
              <w:bottom w:val="single" w:sz="6" w:space="0" w:color="000000"/>
              <w:right w:val="single" w:sz="6" w:space="0" w:color="000000"/>
            </w:tcBorders>
            <w:shd w:val="clear" w:color="auto" w:fill="FFFF00"/>
            <w:vAlign w:val="bottom"/>
          </w:tcPr>
          <w:p w:rsidR="00DC6F02" w:rsidRDefault="00DC6F02">
            <w:pPr>
              <w:autoSpaceDE w:val="0"/>
              <w:autoSpaceDN w:val="0"/>
              <w:adjustRightInd w:val="0"/>
              <w:jc w:val="right"/>
              <w:rPr>
                <w:i/>
                <w:iCs/>
                <w:color w:val="000000"/>
                <w:sz w:val="18"/>
                <w:szCs w:val="18"/>
              </w:rPr>
            </w:pPr>
            <w:r>
              <w:rPr>
                <w:i/>
                <w:iCs/>
                <w:color w:val="000000"/>
                <w:sz w:val="18"/>
                <w:szCs w:val="18"/>
              </w:rPr>
              <w:t>24 359</w:t>
            </w:r>
          </w:p>
        </w:tc>
        <w:tc>
          <w:tcPr>
            <w:tcW w:w="1160" w:type="dxa"/>
            <w:tcBorders>
              <w:top w:val="single" w:sz="6" w:space="0" w:color="000000"/>
              <w:left w:val="single" w:sz="6" w:space="0" w:color="000000"/>
              <w:bottom w:val="single" w:sz="6" w:space="0" w:color="000000"/>
              <w:right w:val="single" w:sz="6" w:space="0" w:color="000000"/>
            </w:tcBorders>
            <w:shd w:val="clear" w:color="auto" w:fill="FFFF00"/>
            <w:vAlign w:val="bottom"/>
          </w:tcPr>
          <w:p w:rsidR="00DC6F02" w:rsidRDefault="00DC6F02">
            <w:pPr>
              <w:autoSpaceDE w:val="0"/>
              <w:autoSpaceDN w:val="0"/>
              <w:adjustRightInd w:val="0"/>
              <w:jc w:val="right"/>
              <w:rPr>
                <w:i/>
                <w:iCs/>
                <w:color w:val="000000"/>
                <w:sz w:val="20"/>
              </w:rPr>
            </w:pPr>
            <w:r>
              <w:rPr>
                <w:i/>
                <w:iCs/>
                <w:color w:val="000000"/>
                <w:sz w:val="20"/>
              </w:rPr>
              <w:t>-3,8 %</w:t>
            </w:r>
          </w:p>
        </w:tc>
        <w:tc>
          <w:tcPr>
            <w:tcW w:w="1120" w:type="dxa"/>
            <w:tcBorders>
              <w:top w:val="single" w:sz="6" w:space="0" w:color="000000"/>
              <w:left w:val="single" w:sz="6" w:space="0" w:color="000000"/>
              <w:bottom w:val="single" w:sz="6" w:space="0" w:color="000000"/>
              <w:right w:val="single" w:sz="6" w:space="0" w:color="000000"/>
            </w:tcBorders>
            <w:shd w:val="clear" w:color="auto" w:fill="FFFF00"/>
            <w:vAlign w:val="bottom"/>
          </w:tcPr>
          <w:p w:rsidR="00DC6F02" w:rsidRDefault="00DC6F02">
            <w:pPr>
              <w:autoSpaceDE w:val="0"/>
              <w:autoSpaceDN w:val="0"/>
              <w:adjustRightInd w:val="0"/>
              <w:jc w:val="right"/>
              <w:rPr>
                <w:i/>
                <w:iCs/>
                <w:color w:val="000000"/>
                <w:sz w:val="18"/>
                <w:szCs w:val="18"/>
              </w:rPr>
            </w:pPr>
            <w:r>
              <w:rPr>
                <w:i/>
                <w:iCs/>
                <w:color w:val="000000"/>
                <w:sz w:val="18"/>
                <w:szCs w:val="18"/>
              </w:rPr>
              <w:t>23 444</w:t>
            </w:r>
          </w:p>
        </w:tc>
        <w:tc>
          <w:tcPr>
            <w:tcW w:w="920" w:type="dxa"/>
            <w:tcBorders>
              <w:top w:val="single" w:sz="6" w:space="0" w:color="000000"/>
              <w:left w:val="single" w:sz="6" w:space="0" w:color="000000"/>
              <w:bottom w:val="single" w:sz="6" w:space="0" w:color="000000"/>
              <w:right w:val="single" w:sz="6" w:space="0" w:color="000000"/>
            </w:tcBorders>
            <w:shd w:val="clear" w:color="auto" w:fill="FFFF00"/>
            <w:vAlign w:val="bottom"/>
          </w:tcPr>
          <w:p w:rsidR="00DC6F02" w:rsidRDefault="00DC6F02">
            <w:pPr>
              <w:autoSpaceDE w:val="0"/>
              <w:autoSpaceDN w:val="0"/>
              <w:adjustRightInd w:val="0"/>
              <w:jc w:val="right"/>
              <w:rPr>
                <w:i/>
                <w:iCs/>
                <w:color w:val="000000"/>
                <w:sz w:val="20"/>
              </w:rPr>
            </w:pPr>
            <w:r>
              <w:rPr>
                <w:i/>
                <w:iCs/>
                <w:color w:val="000000"/>
                <w:sz w:val="20"/>
              </w:rPr>
              <w:t>0,0 %</w:t>
            </w:r>
          </w:p>
        </w:tc>
        <w:tc>
          <w:tcPr>
            <w:tcW w:w="1120" w:type="dxa"/>
            <w:tcBorders>
              <w:top w:val="single" w:sz="6" w:space="0" w:color="000000"/>
              <w:left w:val="single" w:sz="6" w:space="0" w:color="000000"/>
              <w:bottom w:val="single" w:sz="6" w:space="0" w:color="000000"/>
              <w:right w:val="single" w:sz="6" w:space="0" w:color="000000"/>
            </w:tcBorders>
            <w:shd w:val="clear" w:color="auto" w:fill="FFFF00"/>
            <w:vAlign w:val="bottom"/>
          </w:tcPr>
          <w:p w:rsidR="00DC6F02" w:rsidRDefault="00DC6F02">
            <w:pPr>
              <w:autoSpaceDE w:val="0"/>
              <w:autoSpaceDN w:val="0"/>
              <w:adjustRightInd w:val="0"/>
              <w:jc w:val="right"/>
              <w:rPr>
                <w:i/>
                <w:iCs/>
                <w:color w:val="000000"/>
                <w:sz w:val="18"/>
                <w:szCs w:val="18"/>
              </w:rPr>
            </w:pPr>
            <w:r>
              <w:rPr>
                <w:i/>
                <w:iCs/>
                <w:color w:val="000000"/>
                <w:sz w:val="18"/>
                <w:szCs w:val="18"/>
              </w:rPr>
              <w:t>23 455</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shd w:val="clear" w:color="auto" w:fill="FFC1FD"/>
            <w:vAlign w:val="bottom"/>
          </w:tcPr>
          <w:p w:rsidR="00DC6F02" w:rsidRDefault="00DC6F02">
            <w:pPr>
              <w:autoSpaceDE w:val="0"/>
              <w:autoSpaceDN w:val="0"/>
              <w:adjustRightInd w:val="0"/>
              <w:jc w:val="right"/>
              <w:rPr>
                <w:i/>
                <w:iCs/>
                <w:color w:val="000000"/>
                <w:sz w:val="18"/>
                <w:szCs w:val="18"/>
              </w:rPr>
            </w:pPr>
            <w:r>
              <w:rPr>
                <w:i/>
                <w:iCs/>
                <w:color w:val="000000"/>
                <w:sz w:val="18"/>
                <w:szCs w:val="18"/>
              </w:rPr>
              <w:t>Strategiset hankkeet</w:t>
            </w:r>
          </w:p>
        </w:tc>
        <w:tc>
          <w:tcPr>
            <w:tcW w:w="1120" w:type="dxa"/>
            <w:tcBorders>
              <w:top w:val="single" w:sz="6" w:space="0" w:color="000000"/>
              <w:left w:val="single" w:sz="6" w:space="0" w:color="000000"/>
              <w:bottom w:val="single" w:sz="6" w:space="0" w:color="000000"/>
              <w:right w:val="single" w:sz="6" w:space="0" w:color="000000"/>
            </w:tcBorders>
            <w:shd w:val="clear" w:color="auto" w:fill="FFC1FD"/>
            <w:vAlign w:val="bottom"/>
          </w:tcPr>
          <w:p w:rsidR="00DC6F02" w:rsidRDefault="00DC6F02">
            <w:pPr>
              <w:autoSpaceDE w:val="0"/>
              <w:autoSpaceDN w:val="0"/>
              <w:adjustRightInd w:val="0"/>
              <w:jc w:val="right"/>
              <w:rPr>
                <w:i/>
                <w:iCs/>
                <w:color w:val="000000"/>
                <w:sz w:val="18"/>
                <w:szCs w:val="18"/>
              </w:rPr>
            </w:pPr>
            <w:r>
              <w:rPr>
                <w:i/>
                <w:iCs/>
                <w:color w:val="000000"/>
                <w:sz w:val="18"/>
                <w:szCs w:val="18"/>
              </w:rPr>
              <w:t>5 980</w:t>
            </w:r>
          </w:p>
        </w:tc>
        <w:tc>
          <w:tcPr>
            <w:tcW w:w="1160" w:type="dxa"/>
            <w:tcBorders>
              <w:top w:val="single" w:sz="6" w:space="0" w:color="000000"/>
              <w:left w:val="single" w:sz="6" w:space="0" w:color="000000"/>
              <w:bottom w:val="single" w:sz="6" w:space="0" w:color="000000"/>
              <w:right w:val="single" w:sz="6" w:space="0" w:color="000000"/>
            </w:tcBorders>
            <w:shd w:val="clear" w:color="auto" w:fill="FFC1FD"/>
            <w:vAlign w:val="bottom"/>
          </w:tcPr>
          <w:p w:rsidR="00DC6F02" w:rsidRDefault="00DC6F02">
            <w:pPr>
              <w:autoSpaceDE w:val="0"/>
              <w:autoSpaceDN w:val="0"/>
              <w:adjustRightInd w:val="0"/>
              <w:jc w:val="right"/>
              <w:rPr>
                <w:i/>
                <w:iCs/>
                <w:color w:val="000000"/>
                <w:sz w:val="20"/>
              </w:rPr>
            </w:pPr>
            <w:r>
              <w:rPr>
                <w:i/>
                <w:iCs/>
                <w:color w:val="000000"/>
                <w:sz w:val="20"/>
              </w:rPr>
              <w:t>-26,7 %</w:t>
            </w:r>
          </w:p>
        </w:tc>
        <w:tc>
          <w:tcPr>
            <w:tcW w:w="1120" w:type="dxa"/>
            <w:tcBorders>
              <w:top w:val="single" w:sz="6" w:space="0" w:color="000000"/>
              <w:left w:val="single" w:sz="6" w:space="0" w:color="000000"/>
              <w:bottom w:val="single" w:sz="6" w:space="0" w:color="000000"/>
              <w:right w:val="single" w:sz="6" w:space="0" w:color="000000"/>
            </w:tcBorders>
            <w:shd w:val="clear" w:color="auto" w:fill="FFC1FD"/>
            <w:vAlign w:val="bottom"/>
          </w:tcPr>
          <w:p w:rsidR="00DC6F02" w:rsidRDefault="00DC6F02">
            <w:pPr>
              <w:autoSpaceDE w:val="0"/>
              <w:autoSpaceDN w:val="0"/>
              <w:adjustRightInd w:val="0"/>
              <w:jc w:val="right"/>
              <w:rPr>
                <w:i/>
                <w:iCs/>
                <w:color w:val="000000"/>
                <w:sz w:val="18"/>
                <w:szCs w:val="18"/>
              </w:rPr>
            </w:pPr>
            <w:r>
              <w:rPr>
                <w:i/>
                <w:iCs/>
                <w:color w:val="000000"/>
                <w:sz w:val="18"/>
                <w:szCs w:val="18"/>
              </w:rPr>
              <w:t>4 385</w:t>
            </w:r>
          </w:p>
        </w:tc>
        <w:tc>
          <w:tcPr>
            <w:tcW w:w="920" w:type="dxa"/>
            <w:tcBorders>
              <w:top w:val="single" w:sz="6" w:space="0" w:color="000000"/>
              <w:left w:val="single" w:sz="6" w:space="0" w:color="000000"/>
              <w:bottom w:val="single" w:sz="6" w:space="0" w:color="000000"/>
              <w:right w:val="single" w:sz="6" w:space="0" w:color="000000"/>
            </w:tcBorders>
            <w:shd w:val="clear" w:color="auto" w:fill="FFC1FD"/>
            <w:vAlign w:val="bottom"/>
          </w:tcPr>
          <w:p w:rsidR="00DC6F02" w:rsidRDefault="00DC6F02">
            <w:pPr>
              <w:autoSpaceDE w:val="0"/>
              <w:autoSpaceDN w:val="0"/>
              <w:adjustRightInd w:val="0"/>
              <w:jc w:val="right"/>
              <w:rPr>
                <w:i/>
                <w:iCs/>
                <w:color w:val="000000"/>
                <w:sz w:val="20"/>
              </w:rPr>
            </w:pPr>
            <w:r>
              <w:rPr>
                <w:i/>
                <w:iCs/>
                <w:color w:val="000000"/>
                <w:sz w:val="20"/>
              </w:rPr>
              <w:t>2,6 %</w:t>
            </w:r>
          </w:p>
        </w:tc>
        <w:tc>
          <w:tcPr>
            <w:tcW w:w="1120" w:type="dxa"/>
            <w:tcBorders>
              <w:top w:val="single" w:sz="6" w:space="0" w:color="000000"/>
              <w:left w:val="single" w:sz="6" w:space="0" w:color="000000"/>
              <w:bottom w:val="single" w:sz="6" w:space="0" w:color="000000"/>
              <w:right w:val="single" w:sz="6" w:space="0" w:color="000000"/>
            </w:tcBorders>
            <w:shd w:val="clear" w:color="auto" w:fill="FFC1FD"/>
            <w:vAlign w:val="bottom"/>
          </w:tcPr>
          <w:p w:rsidR="00DC6F02" w:rsidRDefault="00DC6F02">
            <w:pPr>
              <w:autoSpaceDE w:val="0"/>
              <w:autoSpaceDN w:val="0"/>
              <w:adjustRightInd w:val="0"/>
              <w:jc w:val="right"/>
              <w:rPr>
                <w:i/>
                <w:iCs/>
                <w:color w:val="000000"/>
                <w:sz w:val="18"/>
                <w:szCs w:val="18"/>
              </w:rPr>
            </w:pPr>
            <w:r>
              <w:rPr>
                <w:i/>
                <w:iCs/>
                <w:color w:val="000000"/>
                <w:sz w:val="18"/>
                <w:szCs w:val="18"/>
              </w:rPr>
              <w:t>4 500</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i/>
                <w:iCs/>
                <w:color w:val="000000"/>
                <w:sz w:val="18"/>
                <w:szCs w:val="18"/>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r>
              <w:rPr>
                <w:color w:val="000000"/>
                <w:sz w:val="22"/>
                <w:szCs w:val="22"/>
              </w:rPr>
              <w:t xml:space="preserve"> </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Hiippakunnallinen toiminta</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13 098</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i/>
                <w:iCs/>
                <w:color w:val="000000"/>
                <w:sz w:val="20"/>
              </w:rPr>
            </w:pPr>
            <w:r>
              <w:rPr>
                <w:i/>
                <w:iCs/>
                <w:color w:val="000000"/>
                <w:sz w:val="20"/>
              </w:rPr>
              <w:t>-1,1 %</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12 958</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i/>
                <w:iCs/>
                <w:color w:val="000000"/>
                <w:sz w:val="20"/>
              </w:rPr>
            </w:pPr>
            <w:r>
              <w:rPr>
                <w:i/>
                <w:iCs/>
                <w:color w:val="000000"/>
                <w:sz w:val="20"/>
              </w:rPr>
              <w:t>0,1 %</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12 972</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Avustukset</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10 941</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i/>
                <w:iCs/>
                <w:color w:val="000000"/>
                <w:sz w:val="20"/>
              </w:rPr>
            </w:pPr>
            <w:r>
              <w:rPr>
                <w:i/>
                <w:iCs/>
                <w:color w:val="000000"/>
                <w:sz w:val="20"/>
              </w:rPr>
              <w:t>-0,2 %</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10 916</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i/>
                <w:iCs/>
                <w:color w:val="000000"/>
                <w:sz w:val="20"/>
              </w:rPr>
            </w:pPr>
            <w:r>
              <w:rPr>
                <w:i/>
                <w:iCs/>
                <w:color w:val="000000"/>
                <w:sz w:val="20"/>
              </w:rPr>
              <w:t>-7,5 %</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10 102</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TOIMINTAKATE</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-54 378</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i/>
                <w:iCs/>
                <w:color w:val="000000"/>
                <w:sz w:val="20"/>
              </w:rPr>
            </w:pPr>
            <w:r>
              <w:rPr>
                <w:i/>
                <w:iCs/>
                <w:color w:val="000000"/>
                <w:sz w:val="20"/>
              </w:rPr>
              <w:t>-4,9 %</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-51 703</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i/>
                <w:iCs/>
                <w:color w:val="000000"/>
                <w:sz w:val="20"/>
              </w:rPr>
            </w:pPr>
            <w:r>
              <w:rPr>
                <w:i/>
                <w:iCs/>
                <w:color w:val="000000"/>
                <w:sz w:val="20"/>
              </w:rPr>
              <w:t>-1,3 %</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-51 029</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Seurakuntamaksut</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53 500</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i/>
                <w:iCs/>
                <w:color w:val="000000"/>
                <w:sz w:val="20"/>
              </w:rPr>
            </w:pPr>
            <w:r>
              <w:rPr>
                <w:i/>
                <w:iCs/>
                <w:color w:val="000000"/>
                <w:sz w:val="20"/>
              </w:rPr>
              <w:t>0,2 %</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53 600</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i/>
                <w:iCs/>
                <w:color w:val="000000"/>
                <w:sz w:val="20"/>
              </w:rPr>
            </w:pPr>
            <w:r>
              <w:rPr>
                <w:i/>
                <w:iCs/>
                <w:color w:val="000000"/>
                <w:sz w:val="20"/>
              </w:rPr>
              <w:t>0,2 %</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53 700</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Perusmaksu%</w:t>
            </w:r>
          </w:p>
        </w:tc>
        <w:tc>
          <w:tcPr>
            <w:tcW w:w="1120" w:type="dxa"/>
            <w:tcBorders>
              <w:top w:val="single" w:sz="6" w:space="0" w:color="000000"/>
              <w:left w:val="single" w:sz="6" w:space="0" w:color="000000"/>
              <w:bottom w:val="single" w:sz="6" w:space="0" w:color="000000"/>
              <w:right w:val="single" w:sz="6" w:space="0" w:color="000000"/>
            </w:tcBorders>
            <w:shd w:val="clear" w:color="auto" w:fill="C1FFD5"/>
            <w:vAlign w:val="bottom"/>
          </w:tcPr>
          <w:p w:rsidR="00DC6F02" w:rsidRDefault="00DC6F02">
            <w:pPr>
              <w:autoSpaceDE w:val="0"/>
              <w:autoSpaceDN w:val="0"/>
              <w:adjustRightInd w:val="0"/>
              <w:jc w:val="center"/>
              <w:rPr>
                <w:color w:val="000000"/>
                <w:sz w:val="22"/>
                <w:szCs w:val="22"/>
              </w:rPr>
            </w:pPr>
            <w:r>
              <w:rPr>
                <w:color w:val="000000"/>
                <w:sz w:val="22"/>
                <w:szCs w:val="22"/>
              </w:rPr>
              <w:t>8,2 %</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shd w:val="clear" w:color="auto" w:fill="C1FFD5"/>
            <w:vAlign w:val="bottom"/>
          </w:tcPr>
          <w:p w:rsidR="00DC6F02" w:rsidRDefault="00DC6F02">
            <w:pPr>
              <w:autoSpaceDE w:val="0"/>
              <w:autoSpaceDN w:val="0"/>
              <w:adjustRightInd w:val="0"/>
              <w:jc w:val="center"/>
              <w:rPr>
                <w:color w:val="000000"/>
                <w:sz w:val="22"/>
                <w:szCs w:val="22"/>
              </w:rPr>
            </w:pPr>
            <w:r>
              <w:rPr>
                <w:color w:val="000000"/>
                <w:sz w:val="22"/>
                <w:szCs w:val="22"/>
              </w:rPr>
              <w:t>8,2 %</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shd w:val="clear" w:color="auto" w:fill="C1FFD5"/>
            <w:vAlign w:val="bottom"/>
          </w:tcPr>
          <w:p w:rsidR="00DC6F02" w:rsidRDefault="00DC6F02">
            <w:pPr>
              <w:autoSpaceDE w:val="0"/>
              <w:autoSpaceDN w:val="0"/>
              <w:adjustRightInd w:val="0"/>
              <w:jc w:val="center"/>
              <w:rPr>
                <w:color w:val="000000"/>
                <w:sz w:val="22"/>
                <w:szCs w:val="22"/>
              </w:rPr>
            </w:pPr>
            <w:r>
              <w:rPr>
                <w:color w:val="000000"/>
                <w:sz w:val="22"/>
                <w:szCs w:val="22"/>
              </w:rPr>
              <w:t>8,2 %</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Sijoitus- ja rahoitustoiminta</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1 850</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i/>
                <w:iCs/>
                <w:color w:val="000000"/>
                <w:sz w:val="20"/>
              </w:rPr>
            </w:pPr>
            <w:r>
              <w:rPr>
                <w:i/>
                <w:iCs/>
                <w:color w:val="000000"/>
                <w:sz w:val="20"/>
              </w:rPr>
              <w:t>-18,9 %</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1 500</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i/>
                <w:iCs/>
                <w:color w:val="000000"/>
                <w:sz w:val="20"/>
              </w:rPr>
            </w:pPr>
            <w:r>
              <w:rPr>
                <w:i/>
                <w:iCs/>
                <w:color w:val="000000"/>
                <w:sz w:val="20"/>
              </w:rPr>
              <w:t>0,0 %</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1 500</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ER 8:n hoitovastike</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-350</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r>
              <w:rPr>
                <w:color w:val="000000"/>
                <w:sz w:val="22"/>
                <w:szCs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VUOSIKATE</w:t>
            </w:r>
          </w:p>
        </w:tc>
        <w:tc>
          <w:tcPr>
            <w:tcW w:w="1120" w:type="dxa"/>
            <w:tcBorders>
              <w:top w:val="single" w:sz="6" w:space="0" w:color="000000"/>
              <w:left w:val="single" w:sz="6" w:space="0" w:color="000000"/>
              <w:bottom w:val="single" w:sz="6" w:space="0" w:color="000000"/>
              <w:right w:val="single" w:sz="6" w:space="0" w:color="000000"/>
            </w:tcBorders>
            <w:shd w:val="clear" w:color="auto" w:fill="C2EFFF"/>
            <w:vAlign w:val="bottom"/>
          </w:tcPr>
          <w:p w:rsidR="00DC6F02" w:rsidRDefault="00DC6F02">
            <w:pPr>
              <w:autoSpaceDE w:val="0"/>
              <w:autoSpaceDN w:val="0"/>
              <w:adjustRightInd w:val="0"/>
              <w:jc w:val="right"/>
              <w:rPr>
                <w:color w:val="000000"/>
                <w:sz w:val="22"/>
                <w:szCs w:val="22"/>
              </w:rPr>
            </w:pPr>
            <w:r>
              <w:rPr>
                <w:color w:val="000000"/>
                <w:sz w:val="22"/>
                <w:szCs w:val="22"/>
              </w:rPr>
              <w:t>622</w:t>
            </w:r>
          </w:p>
        </w:tc>
        <w:tc>
          <w:tcPr>
            <w:tcW w:w="116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C6F02" w:rsidRDefault="00DC6F02">
            <w:pPr>
              <w:autoSpaceDE w:val="0"/>
              <w:autoSpaceDN w:val="0"/>
              <w:adjustRightInd w:val="0"/>
              <w:jc w:val="right"/>
              <w:rPr>
                <w:i/>
                <w:iCs/>
                <w:color w:val="000000"/>
                <w:sz w:val="20"/>
              </w:rPr>
            </w:pPr>
            <w:r>
              <w:rPr>
                <w:i/>
                <w:iCs/>
                <w:color w:val="000000"/>
                <w:sz w:val="20"/>
              </w:rPr>
              <w:t>-446,1 %</w:t>
            </w:r>
          </w:p>
        </w:tc>
        <w:tc>
          <w:tcPr>
            <w:tcW w:w="1120" w:type="dxa"/>
            <w:tcBorders>
              <w:top w:val="single" w:sz="6" w:space="0" w:color="000000"/>
              <w:left w:val="single" w:sz="6" w:space="0" w:color="000000"/>
              <w:bottom w:val="single" w:sz="6" w:space="0" w:color="000000"/>
              <w:right w:val="single" w:sz="6" w:space="0" w:color="000000"/>
            </w:tcBorders>
            <w:shd w:val="clear" w:color="auto" w:fill="C2EFFF"/>
            <w:vAlign w:val="bottom"/>
          </w:tcPr>
          <w:p w:rsidR="00DC6F02" w:rsidRDefault="00DC6F02">
            <w:pPr>
              <w:autoSpaceDE w:val="0"/>
              <w:autoSpaceDN w:val="0"/>
              <w:adjustRightInd w:val="0"/>
              <w:jc w:val="right"/>
              <w:rPr>
                <w:color w:val="000000"/>
                <w:sz w:val="22"/>
                <w:szCs w:val="22"/>
              </w:rPr>
            </w:pPr>
            <w:r>
              <w:rPr>
                <w:color w:val="000000"/>
                <w:sz w:val="22"/>
                <w:szCs w:val="22"/>
              </w:rPr>
              <w:t>3 397</w:t>
            </w:r>
          </w:p>
        </w:tc>
        <w:tc>
          <w:tcPr>
            <w:tcW w:w="92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C6F02" w:rsidRDefault="00DC6F02">
            <w:pPr>
              <w:autoSpaceDE w:val="0"/>
              <w:autoSpaceDN w:val="0"/>
              <w:adjustRightInd w:val="0"/>
              <w:jc w:val="right"/>
              <w:rPr>
                <w:i/>
                <w:iCs/>
                <w:color w:val="000000"/>
                <w:sz w:val="20"/>
              </w:rPr>
            </w:pPr>
            <w:r>
              <w:rPr>
                <w:i/>
                <w:iCs/>
                <w:color w:val="000000"/>
                <w:sz w:val="20"/>
              </w:rPr>
              <w:t>22,8 %</w:t>
            </w:r>
          </w:p>
        </w:tc>
        <w:tc>
          <w:tcPr>
            <w:tcW w:w="1120" w:type="dxa"/>
            <w:tcBorders>
              <w:top w:val="single" w:sz="6" w:space="0" w:color="000000"/>
              <w:left w:val="single" w:sz="6" w:space="0" w:color="000000"/>
              <w:bottom w:val="single" w:sz="6" w:space="0" w:color="000000"/>
              <w:right w:val="single" w:sz="6" w:space="0" w:color="000000"/>
            </w:tcBorders>
            <w:shd w:val="clear" w:color="auto" w:fill="C2EFFF"/>
            <w:vAlign w:val="bottom"/>
          </w:tcPr>
          <w:p w:rsidR="00DC6F02" w:rsidRDefault="00DC6F02">
            <w:pPr>
              <w:autoSpaceDE w:val="0"/>
              <w:autoSpaceDN w:val="0"/>
              <w:adjustRightInd w:val="0"/>
              <w:jc w:val="right"/>
              <w:rPr>
                <w:color w:val="000000"/>
                <w:sz w:val="22"/>
                <w:szCs w:val="22"/>
              </w:rPr>
            </w:pPr>
            <w:r>
              <w:rPr>
                <w:color w:val="000000"/>
                <w:sz w:val="22"/>
                <w:szCs w:val="22"/>
              </w:rPr>
              <w:t>4 171</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Poistot</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-4 300</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i/>
                <w:iCs/>
                <w:color w:val="000000"/>
                <w:sz w:val="20"/>
              </w:rPr>
            </w:pPr>
            <w:r>
              <w:rPr>
                <w:i/>
                <w:iCs/>
                <w:color w:val="000000"/>
                <w:sz w:val="20"/>
              </w:rPr>
              <w:t>1,6 %</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-4 370</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i/>
                <w:iCs/>
                <w:color w:val="000000"/>
                <w:sz w:val="20"/>
              </w:rPr>
            </w:pPr>
            <w:r>
              <w:rPr>
                <w:i/>
                <w:iCs/>
                <w:color w:val="000000"/>
                <w:sz w:val="20"/>
              </w:rPr>
              <w:t>0,0 %</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-4 370</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Satunnaiset tuotot</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r>
              <w:rPr>
                <w:color w:val="000000"/>
                <w:sz w:val="22"/>
                <w:szCs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center"/>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Tilinpäätössiirrot</w:t>
            </w: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90</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20</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r>
              <w:rPr>
                <w:color w:val="000000"/>
                <w:sz w:val="22"/>
                <w:szCs w:val="22"/>
              </w:rPr>
              <w:t>-20</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p>
        </w:tc>
        <w:tc>
          <w:tcPr>
            <w:tcW w:w="11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 xml:space="preserve"> </w:t>
            </w:r>
          </w:p>
        </w:tc>
      </w:tr>
      <w:tr w:rsidR="00DC6F02">
        <w:trPr>
          <w:trHeight w:val="300"/>
        </w:trPr>
        <w:tc>
          <w:tcPr>
            <w:tcW w:w="274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rPr>
                <w:color w:val="000000"/>
                <w:sz w:val="22"/>
                <w:szCs w:val="22"/>
              </w:rPr>
            </w:pPr>
            <w:r>
              <w:rPr>
                <w:color w:val="000000"/>
                <w:sz w:val="22"/>
                <w:szCs w:val="22"/>
              </w:rPr>
              <w:t>TILIKAUDEN YLI/ALIJÄÄMÄ</w:t>
            </w:r>
          </w:p>
        </w:tc>
        <w:tc>
          <w:tcPr>
            <w:tcW w:w="1120" w:type="dxa"/>
            <w:tcBorders>
              <w:top w:val="single" w:sz="6" w:space="0" w:color="000000"/>
              <w:left w:val="single" w:sz="6" w:space="0" w:color="000000"/>
              <w:bottom w:val="single" w:sz="6" w:space="0" w:color="000000"/>
              <w:right w:val="single" w:sz="6" w:space="0" w:color="000000"/>
            </w:tcBorders>
            <w:shd w:val="clear" w:color="auto" w:fill="FFC1FD"/>
            <w:vAlign w:val="bottom"/>
          </w:tcPr>
          <w:p w:rsidR="00DC6F02" w:rsidRDefault="00DC6F02">
            <w:pPr>
              <w:autoSpaceDE w:val="0"/>
              <w:autoSpaceDN w:val="0"/>
              <w:adjustRightInd w:val="0"/>
              <w:jc w:val="right"/>
              <w:rPr>
                <w:color w:val="000000"/>
                <w:sz w:val="22"/>
                <w:szCs w:val="22"/>
              </w:rPr>
            </w:pPr>
            <w:r>
              <w:rPr>
                <w:color w:val="000000"/>
                <w:sz w:val="22"/>
                <w:szCs w:val="22"/>
              </w:rPr>
              <w:t>-3 588</w:t>
            </w:r>
          </w:p>
        </w:tc>
        <w:tc>
          <w:tcPr>
            <w:tcW w:w="116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i/>
                <w:iCs/>
                <w:color w:val="000000"/>
                <w:sz w:val="20"/>
              </w:rPr>
            </w:pPr>
            <w:r>
              <w:rPr>
                <w:i/>
                <w:iCs/>
                <w:color w:val="000000"/>
                <w:sz w:val="20"/>
              </w:rPr>
              <w:t>-73,4 %</w:t>
            </w:r>
          </w:p>
        </w:tc>
        <w:tc>
          <w:tcPr>
            <w:tcW w:w="1120" w:type="dxa"/>
            <w:tcBorders>
              <w:top w:val="single" w:sz="6" w:space="0" w:color="000000"/>
              <w:left w:val="single" w:sz="6" w:space="0" w:color="000000"/>
              <w:bottom w:val="single" w:sz="6" w:space="0" w:color="000000"/>
              <w:right w:val="single" w:sz="6" w:space="0" w:color="000000"/>
            </w:tcBorders>
            <w:shd w:val="clear" w:color="auto" w:fill="FFC1FD"/>
            <w:vAlign w:val="bottom"/>
          </w:tcPr>
          <w:p w:rsidR="00DC6F02" w:rsidRDefault="00DC6F02">
            <w:pPr>
              <w:autoSpaceDE w:val="0"/>
              <w:autoSpaceDN w:val="0"/>
              <w:adjustRightInd w:val="0"/>
              <w:jc w:val="right"/>
              <w:rPr>
                <w:color w:val="000000"/>
                <w:sz w:val="22"/>
                <w:szCs w:val="22"/>
              </w:rPr>
            </w:pPr>
            <w:r>
              <w:rPr>
                <w:color w:val="000000"/>
                <w:sz w:val="22"/>
                <w:szCs w:val="22"/>
              </w:rPr>
              <w:t>-953</w:t>
            </w:r>
          </w:p>
        </w:tc>
        <w:tc>
          <w:tcPr>
            <w:tcW w:w="920" w:type="dxa"/>
            <w:tcBorders>
              <w:top w:val="single" w:sz="6" w:space="0" w:color="000000"/>
              <w:left w:val="single" w:sz="6" w:space="0" w:color="000000"/>
              <w:bottom w:val="single" w:sz="6" w:space="0" w:color="000000"/>
              <w:right w:val="single" w:sz="6" w:space="0" w:color="000000"/>
            </w:tcBorders>
            <w:vAlign w:val="bottom"/>
          </w:tcPr>
          <w:p w:rsidR="00DC6F02" w:rsidRDefault="00DC6F02">
            <w:pPr>
              <w:autoSpaceDE w:val="0"/>
              <w:autoSpaceDN w:val="0"/>
              <w:adjustRightInd w:val="0"/>
              <w:jc w:val="right"/>
              <w:rPr>
                <w:i/>
                <w:iCs/>
                <w:color w:val="000000"/>
                <w:sz w:val="20"/>
              </w:rPr>
            </w:pPr>
            <w:r>
              <w:rPr>
                <w:i/>
                <w:iCs/>
                <w:color w:val="000000"/>
                <w:sz w:val="20"/>
              </w:rPr>
              <w:t>-77,1 %</w:t>
            </w:r>
          </w:p>
        </w:tc>
        <w:tc>
          <w:tcPr>
            <w:tcW w:w="1120" w:type="dxa"/>
            <w:tcBorders>
              <w:top w:val="single" w:sz="6" w:space="0" w:color="000000"/>
              <w:left w:val="single" w:sz="6" w:space="0" w:color="000000"/>
              <w:bottom w:val="single" w:sz="6" w:space="0" w:color="000000"/>
              <w:right w:val="single" w:sz="6" w:space="0" w:color="000000"/>
            </w:tcBorders>
            <w:shd w:val="clear" w:color="auto" w:fill="FFC1FD"/>
            <w:vAlign w:val="bottom"/>
          </w:tcPr>
          <w:p w:rsidR="00DC6F02" w:rsidRDefault="00DC6F02">
            <w:pPr>
              <w:autoSpaceDE w:val="0"/>
              <w:autoSpaceDN w:val="0"/>
              <w:adjustRightInd w:val="0"/>
              <w:jc w:val="right"/>
              <w:rPr>
                <w:color w:val="000000"/>
                <w:sz w:val="22"/>
                <w:szCs w:val="22"/>
              </w:rPr>
            </w:pPr>
            <w:r>
              <w:rPr>
                <w:color w:val="000000"/>
                <w:sz w:val="22"/>
                <w:szCs w:val="22"/>
              </w:rPr>
              <w:t>-219</w:t>
            </w:r>
          </w:p>
        </w:tc>
      </w:tr>
    </w:tbl>
    <w:p w:rsidR="00DC6F02" w:rsidRDefault="00DC6F02" w:rsidP="00DC6F02">
      <w:pPr>
        <w:autoSpaceDE w:val="0"/>
        <w:autoSpaceDN w:val="0"/>
        <w:adjustRightInd w:val="0"/>
        <w:rPr>
          <w:color w:val="000000"/>
          <w:sz w:val="22"/>
          <w:szCs w:val="22"/>
        </w:rPr>
      </w:pPr>
    </w:p>
    <w:p w:rsidR="00DC6F02" w:rsidRDefault="00DC6F02" w:rsidP="00DC6F02">
      <w:pPr>
        <w:autoSpaceDE w:val="0"/>
        <w:autoSpaceDN w:val="0"/>
        <w:adjustRightInd w:val="0"/>
        <w:rPr>
          <w:color w:val="000000"/>
          <w:sz w:val="22"/>
          <w:szCs w:val="22"/>
        </w:rPr>
      </w:pPr>
    </w:p>
    <w:p w:rsidR="00DC6F02" w:rsidRDefault="00DC6F02" w:rsidP="00DC6F02">
      <w:pPr>
        <w:autoSpaceDE w:val="0"/>
        <w:autoSpaceDN w:val="0"/>
        <w:adjustRightInd w:val="0"/>
        <w:rPr>
          <w:b/>
          <w:bCs/>
          <w:color w:val="000000"/>
          <w:szCs w:val="24"/>
        </w:rPr>
      </w:pPr>
      <w:r>
        <w:rPr>
          <w:b/>
          <w:bCs/>
          <w:color w:val="000000"/>
          <w:szCs w:val="24"/>
        </w:rPr>
        <w:t>Kirkkohallitus</w:t>
      </w:r>
    </w:p>
    <w:p w:rsidR="00DC6F02" w:rsidRDefault="00DC6F02" w:rsidP="00DC6F02">
      <w:pPr>
        <w:autoSpaceDE w:val="0"/>
        <w:autoSpaceDN w:val="0"/>
        <w:adjustRightInd w:val="0"/>
        <w:rPr>
          <w:b/>
          <w:bCs/>
          <w:color w:val="000000"/>
          <w:szCs w:val="24"/>
        </w:rPr>
      </w:pPr>
    </w:p>
    <w:p w:rsidR="00DC6F02" w:rsidRDefault="00DC6F02" w:rsidP="00DC6F02">
      <w:pPr>
        <w:autoSpaceDE w:val="0"/>
        <w:autoSpaceDN w:val="0"/>
        <w:adjustRightInd w:val="0"/>
        <w:rPr>
          <w:color w:val="000000"/>
          <w:szCs w:val="24"/>
        </w:rPr>
      </w:pPr>
      <w:r>
        <w:rPr>
          <w:color w:val="000000"/>
          <w:szCs w:val="24"/>
        </w:rPr>
        <w:t>Esitys yksiköiden perustoiminnan muutosprosenteiksi vuosille 2015 – 2017 on seuraava:</w:t>
      </w:r>
    </w:p>
    <w:p w:rsidR="00DC6F02" w:rsidRDefault="00DC6F02" w:rsidP="00DC6F02">
      <w:pPr>
        <w:autoSpaceDE w:val="0"/>
        <w:autoSpaceDN w:val="0"/>
        <w:adjustRightInd w:val="0"/>
        <w:rPr>
          <w:color w:val="000000"/>
          <w:szCs w:val="24"/>
        </w:rPr>
      </w:pPr>
    </w:p>
    <w:p w:rsidR="00DC6F02" w:rsidRDefault="00DC6F02" w:rsidP="00DC6F02">
      <w:pPr>
        <w:autoSpaceDE w:val="0"/>
        <w:autoSpaceDN w:val="0"/>
        <w:adjustRightInd w:val="0"/>
        <w:rPr>
          <w:color w:val="000000"/>
          <w:szCs w:val="24"/>
        </w:rPr>
      </w:pPr>
      <w:r>
        <w:rPr>
          <w:color w:val="000000"/>
          <w:szCs w:val="24"/>
        </w:rPr>
        <w:t>2015    - 3,0 %</w:t>
      </w:r>
    </w:p>
    <w:p w:rsidR="00DC6F02" w:rsidRDefault="00DC6F02" w:rsidP="00DC6F02">
      <w:pPr>
        <w:autoSpaceDE w:val="0"/>
        <w:autoSpaceDN w:val="0"/>
        <w:adjustRightInd w:val="0"/>
        <w:rPr>
          <w:color w:val="000000"/>
          <w:szCs w:val="24"/>
        </w:rPr>
      </w:pPr>
      <w:r>
        <w:rPr>
          <w:color w:val="000000"/>
          <w:szCs w:val="24"/>
        </w:rPr>
        <w:t xml:space="preserve">2016      0,0 % </w:t>
      </w:r>
    </w:p>
    <w:p w:rsidR="00DC6F02" w:rsidRDefault="00DC6F02" w:rsidP="00DC6F02">
      <w:pPr>
        <w:autoSpaceDE w:val="0"/>
        <w:autoSpaceDN w:val="0"/>
        <w:adjustRightInd w:val="0"/>
        <w:rPr>
          <w:color w:val="000000"/>
          <w:szCs w:val="24"/>
        </w:rPr>
      </w:pPr>
      <w:r>
        <w:rPr>
          <w:color w:val="000000"/>
          <w:szCs w:val="24"/>
        </w:rPr>
        <w:t>2017      0,0 %</w:t>
      </w:r>
    </w:p>
    <w:p w:rsidR="00DC6F02" w:rsidRDefault="00DC6F02" w:rsidP="00DC6F02">
      <w:pPr>
        <w:autoSpaceDE w:val="0"/>
        <w:autoSpaceDN w:val="0"/>
        <w:adjustRightInd w:val="0"/>
        <w:rPr>
          <w:color w:val="000000"/>
          <w:szCs w:val="24"/>
        </w:rPr>
      </w:pPr>
    </w:p>
    <w:p w:rsidR="00DC6F02" w:rsidRDefault="00DC6F02" w:rsidP="00590DA9">
      <w:pPr>
        <w:autoSpaceDE w:val="0"/>
        <w:autoSpaceDN w:val="0"/>
        <w:adjustRightInd w:val="0"/>
        <w:jc w:val="both"/>
        <w:rPr>
          <w:color w:val="000000"/>
          <w:szCs w:val="24"/>
        </w:rPr>
      </w:pPr>
      <w:r>
        <w:rPr>
          <w:color w:val="000000"/>
          <w:szCs w:val="24"/>
        </w:rPr>
        <w:t>Strategisten hankkeiden osalta noudatetaan voimassa olevaa toiminta- ja taloussuunnitelmaa.</w:t>
      </w:r>
    </w:p>
    <w:p w:rsidR="00DC6F02" w:rsidRDefault="00DC6F02" w:rsidP="00590DA9">
      <w:pPr>
        <w:autoSpaceDE w:val="0"/>
        <w:autoSpaceDN w:val="0"/>
        <w:adjustRightInd w:val="0"/>
        <w:jc w:val="both"/>
        <w:rPr>
          <w:color w:val="000000"/>
          <w:szCs w:val="24"/>
        </w:rPr>
      </w:pPr>
      <w:r>
        <w:rPr>
          <w:color w:val="000000"/>
          <w:szCs w:val="24"/>
        </w:rPr>
        <w:t xml:space="preserve">Nämä yhteiset hankkeet rahoitetaan osin käyttämällä aikaisemmilta vuosilta kertynyttä ylijäämää. Näin hyöty kohdistuu tasaisesti kaikkiin seurakuntiin, jotka ovat seurakuntamaksuin rahoittaneet aiemmilta vuosilta kertyneen ylijäämän. </w:t>
      </w:r>
    </w:p>
    <w:p w:rsidR="00DC6F02" w:rsidRDefault="00DC6F02" w:rsidP="00590DA9">
      <w:pPr>
        <w:autoSpaceDE w:val="0"/>
        <w:autoSpaceDN w:val="0"/>
        <w:adjustRightInd w:val="0"/>
        <w:jc w:val="both"/>
        <w:rPr>
          <w:color w:val="000000"/>
          <w:szCs w:val="24"/>
        </w:rPr>
      </w:pPr>
    </w:p>
    <w:p w:rsidR="00DC6F02" w:rsidRDefault="00DC6F02" w:rsidP="00590DA9">
      <w:pPr>
        <w:autoSpaceDE w:val="0"/>
        <w:autoSpaceDN w:val="0"/>
        <w:adjustRightInd w:val="0"/>
        <w:jc w:val="both"/>
        <w:rPr>
          <w:color w:val="000000"/>
          <w:szCs w:val="24"/>
        </w:rPr>
      </w:pPr>
      <w:r>
        <w:rPr>
          <w:color w:val="000000"/>
          <w:szCs w:val="24"/>
        </w:rPr>
        <w:t xml:space="preserve">Kirkkohallituksen talousarvion esittämistapaa muutetaan. Tarkoituksena on luopua strategisten hankkeiden erityisestä korostamisesta ja keskittyä sen sijaan ns. perustyön kuvaamiseen. Suunnitelman lähtökohtana ovat Kirkkohallituksen missio ja visio 2015. Suunnittelun pohjaksi on kehitetty yksinkertainen tuloskortti mittareineen, niiden toteutumista arvioidaan vuosikertomuksessa. </w:t>
      </w:r>
    </w:p>
    <w:p w:rsidR="00DC6F02" w:rsidRDefault="00DC6F02" w:rsidP="00DC6F02">
      <w:pPr>
        <w:autoSpaceDE w:val="0"/>
        <w:autoSpaceDN w:val="0"/>
        <w:adjustRightInd w:val="0"/>
        <w:rPr>
          <w:color w:val="000000"/>
          <w:szCs w:val="24"/>
        </w:rPr>
      </w:pPr>
    </w:p>
    <w:p w:rsidR="00DC6F02" w:rsidRDefault="00DC6F02" w:rsidP="00DC6F02">
      <w:pPr>
        <w:autoSpaceDE w:val="0"/>
        <w:autoSpaceDN w:val="0"/>
        <w:adjustRightInd w:val="0"/>
        <w:rPr>
          <w:b/>
          <w:bCs/>
          <w:color w:val="000000"/>
          <w:szCs w:val="24"/>
        </w:rPr>
      </w:pPr>
      <w:r>
        <w:rPr>
          <w:b/>
          <w:bCs/>
          <w:color w:val="000000"/>
          <w:szCs w:val="24"/>
        </w:rPr>
        <w:t>Hiippakunnat</w:t>
      </w:r>
    </w:p>
    <w:p w:rsidR="00DC6F02" w:rsidRDefault="00DC6F02" w:rsidP="00DC6F02">
      <w:pPr>
        <w:autoSpaceDE w:val="0"/>
        <w:autoSpaceDN w:val="0"/>
        <w:adjustRightInd w:val="0"/>
        <w:rPr>
          <w:b/>
          <w:bCs/>
          <w:color w:val="000000"/>
          <w:szCs w:val="24"/>
        </w:rPr>
      </w:pPr>
    </w:p>
    <w:p w:rsidR="00DC6F02" w:rsidRDefault="00DC6F02" w:rsidP="00590DA9">
      <w:pPr>
        <w:autoSpaceDE w:val="0"/>
        <w:autoSpaceDN w:val="0"/>
        <w:adjustRightInd w:val="0"/>
        <w:jc w:val="both"/>
        <w:rPr>
          <w:color w:val="000000"/>
          <w:szCs w:val="24"/>
        </w:rPr>
      </w:pPr>
      <w:r>
        <w:rPr>
          <w:color w:val="000000"/>
          <w:szCs w:val="24"/>
        </w:rPr>
        <w:t>Hiippakuntien välinen ns. rahanjakomalli otettiin käyttöön vuoden 2008 määrärahoja jaettaessa. Mallin ulkopuolelle suljettiin kiinteistökulut, koska tilaratkaisut poikkeavat olennaisesti toisistaan. Tuomiokapitulien vuokrat ja vastikkeet maksetaan todellisten kustannusten mukaisina, eikä niiden muutoksilla ole vaikutusta kehyksen muutokseen.</w:t>
      </w:r>
    </w:p>
    <w:p w:rsidR="00DC6F02" w:rsidRDefault="00DC6F02" w:rsidP="00590DA9">
      <w:pPr>
        <w:autoSpaceDE w:val="0"/>
        <w:autoSpaceDN w:val="0"/>
        <w:adjustRightInd w:val="0"/>
        <w:jc w:val="both"/>
        <w:rPr>
          <w:color w:val="000000"/>
          <w:szCs w:val="24"/>
        </w:rPr>
      </w:pPr>
    </w:p>
    <w:p w:rsidR="00DC6F02" w:rsidRDefault="00DC6F02" w:rsidP="00590DA9">
      <w:pPr>
        <w:autoSpaceDE w:val="0"/>
        <w:autoSpaceDN w:val="0"/>
        <w:adjustRightInd w:val="0"/>
        <w:jc w:val="both"/>
        <w:rPr>
          <w:color w:val="000000"/>
          <w:szCs w:val="24"/>
        </w:rPr>
      </w:pPr>
      <w:r>
        <w:rPr>
          <w:color w:val="000000"/>
          <w:szCs w:val="24"/>
        </w:rPr>
        <w:t>Rahanjakomallissa hiippakunnille varattu summa jaetaan kolmeen osaan: kiinteään osaan, muuttuvaan osaan ja erityisosaan. Erityisosaa kapitulit saavat kuurojen pappien ja vankiladiakonien menoihin sekä Turun kapituli arkkipiispan menoihin. Loput varat jaetaan siten, että kiinteä osa on 62,5 % ja muuttuvat osa 37,5 %. Kiinteä osa jaetaan tasan kapitulien kesken ts. jokainen saa yhtä suuren summan. Muuttuva osa jaetaan ottaen huomioon kolme olennaisesti tuomiokapitulin toimintaan vaikuttavaa tekijää. Nämä tekijät painoarvoineen ovat: hiippakunnan väkiluku (50 %), seurakuntien lukumäärä (25 %) ja alueelliset tekijät (25 %). Alueellisia tekijöitä arvioitaessa otetaan huomioon pisimmät välimatkat hiippakunnassa ja etäisyys Helsingistä.</w:t>
      </w:r>
    </w:p>
    <w:p w:rsidR="00DC6F02" w:rsidRDefault="00DC6F02" w:rsidP="00590DA9">
      <w:pPr>
        <w:autoSpaceDE w:val="0"/>
        <w:autoSpaceDN w:val="0"/>
        <w:adjustRightInd w:val="0"/>
        <w:jc w:val="both"/>
        <w:rPr>
          <w:color w:val="000000"/>
          <w:szCs w:val="24"/>
        </w:rPr>
      </w:pPr>
    </w:p>
    <w:p w:rsidR="00DC6F02" w:rsidRDefault="00DC6F02" w:rsidP="00590DA9">
      <w:pPr>
        <w:autoSpaceDE w:val="0"/>
        <w:autoSpaceDN w:val="0"/>
        <w:adjustRightInd w:val="0"/>
        <w:jc w:val="both"/>
        <w:rPr>
          <w:color w:val="000000"/>
          <w:szCs w:val="24"/>
        </w:rPr>
      </w:pPr>
      <w:r>
        <w:rPr>
          <w:color w:val="000000"/>
          <w:szCs w:val="24"/>
        </w:rPr>
        <w:t xml:space="preserve">Nyt esitetään, että hiippakuntien välisen rahanjakomallin tulokset päivitetään vastaamaan tämän hetken tilannetta muuttuvien tekijöiden osalta. Alla olevassa taulukossa näkyvät laskelman tulokset. Sarakkeessa ”TA 2014” ovat vuoden 2014 talousarvion määrärahat palkkojen ja toimintamenojen osalta. Sarakkeessa ”Tarkistuslaskenta” näkyvät rahanjakolaskelman tulokset tilanteessa, jossa muuttuva osa on päivitetty ja sarakkeessa ”Ero” nykyisen määrärahan ja päivitetyn laskelman välinen ero. </w:t>
      </w:r>
    </w:p>
    <w:p w:rsidR="00DC6F02" w:rsidRDefault="00DC6F02" w:rsidP="00590DA9">
      <w:pPr>
        <w:autoSpaceDE w:val="0"/>
        <w:autoSpaceDN w:val="0"/>
        <w:adjustRightInd w:val="0"/>
        <w:jc w:val="both"/>
        <w:rPr>
          <w:color w:val="000000"/>
          <w:szCs w:val="24"/>
        </w:rPr>
      </w:pPr>
    </w:p>
    <w:p w:rsidR="00DC6F02" w:rsidRDefault="00DC6F02" w:rsidP="00590DA9">
      <w:pPr>
        <w:autoSpaceDE w:val="0"/>
        <w:autoSpaceDN w:val="0"/>
        <w:adjustRightInd w:val="0"/>
        <w:jc w:val="both"/>
        <w:rPr>
          <w:color w:val="000000"/>
          <w:szCs w:val="24"/>
        </w:rPr>
      </w:pPr>
      <w:r>
        <w:rPr>
          <w:color w:val="000000"/>
          <w:szCs w:val="24"/>
        </w:rPr>
        <w:t>Kehyksiä määritettäessä esitetään, että niiden hiippakuntien, joiden nykyinen määräraha on tarkistuslaskentaan verrattuna liian alhainen, määrärahaa lisätään erotuksen verran. Sen sijaan liikaa saaneiden hiippakuntien määrärahaa ei vähennetä. Tämän muutoksen seurauksena määrärahan tarve lisääntyy yhteensä 207.000 euroa. Kirkoll</w:t>
      </w:r>
      <w:r w:rsidR="00ED033A">
        <w:rPr>
          <w:color w:val="000000"/>
          <w:szCs w:val="24"/>
        </w:rPr>
        <w:t>iskokouksen hyväksymän TTS 2014–</w:t>
      </w:r>
      <w:r>
        <w:rPr>
          <w:color w:val="000000"/>
          <w:szCs w:val="24"/>
        </w:rPr>
        <w:t>2016:n mukaisesti hiippakunnallisen toiminnan määräraha vuodelle 2015 vähenee noin 1 %. Tämä vähennys tehdään sarakkeen ”korjattu 2014” perusteella.</w:t>
      </w:r>
    </w:p>
    <w:p w:rsidR="00DC6F02" w:rsidRDefault="00DC6F02" w:rsidP="00590DA9">
      <w:pPr>
        <w:autoSpaceDE w:val="0"/>
        <w:autoSpaceDN w:val="0"/>
        <w:adjustRightInd w:val="0"/>
        <w:jc w:val="both"/>
        <w:rPr>
          <w:color w:val="000000"/>
          <w:szCs w:val="24"/>
        </w:rPr>
      </w:pPr>
    </w:p>
    <w:p w:rsidR="00DC6F02" w:rsidRDefault="00DC6F02" w:rsidP="00590DA9">
      <w:pPr>
        <w:autoSpaceDE w:val="0"/>
        <w:autoSpaceDN w:val="0"/>
        <w:adjustRightInd w:val="0"/>
        <w:jc w:val="both"/>
        <w:rPr>
          <w:color w:val="000000"/>
          <w:szCs w:val="24"/>
        </w:rPr>
      </w:pPr>
      <w:r>
        <w:rPr>
          <w:color w:val="000000"/>
          <w:szCs w:val="24"/>
        </w:rPr>
        <w:t>Vuosien 2016 ja 2017 muutosprosentit ovat 0 %.</w:t>
      </w:r>
    </w:p>
    <w:p w:rsidR="00DC6F02" w:rsidRDefault="00DC6F02" w:rsidP="00590DA9">
      <w:pPr>
        <w:autoSpaceDE w:val="0"/>
        <w:autoSpaceDN w:val="0"/>
        <w:adjustRightInd w:val="0"/>
        <w:jc w:val="both"/>
        <w:rPr>
          <w:color w:val="000000"/>
          <w:szCs w:val="24"/>
        </w:rPr>
      </w:pPr>
    </w:p>
    <w:p w:rsidR="00DC6F02" w:rsidRDefault="00DC6F02" w:rsidP="00590DA9">
      <w:pPr>
        <w:autoSpaceDE w:val="0"/>
        <w:autoSpaceDN w:val="0"/>
        <w:adjustRightInd w:val="0"/>
        <w:jc w:val="both"/>
        <w:rPr>
          <w:color w:val="000000"/>
          <w:szCs w:val="24"/>
        </w:rPr>
      </w:pPr>
      <w:r>
        <w:rPr>
          <w:color w:val="000000"/>
          <w:szCs w:val="24"/>
        </w:rPr>
        <w:t>Lisääntynyt määrärahan tarve katetaan hiippakuntien yhteisistä menoista, joista erityisesti kehittämisavustusmäärärahoja on jäänyt runsaasti käyttämättä.</w:t>
      </w:r>
    </w:p>
    <w:p w:rsidR="00DC6F02" w:rsidRDefault="00DC6F02" w:rsidP="00DC6F02">
      <w:pPr>
        <w:autoSpaceDE w:val="0"/>
        <w:autoSpaceDN w:val="0"/>
        <w:adjustRightInd w:val="0"/>
        <w:rPr>
          <w:color w:val="000000"/>
          <w:szCs w:val="24"/>
        </w:rPr>
      </w:pPr>
    </w:p>
    <w:p w:rsidR="00DC6F02" w:rsidRDefault="00DC6F02" w:rsidP="00DC6F02">
      <w:pPr>
        <w:autoSpaceDE w:val="0"/>
        <w:autoSpaceDN w:val="0"/>
        <w:adjustRightInd w:val="0"/>
        <w:rPr>
          <w:color w:val="000000"/>
          <w:szCs w:val="24"/>
        </w:rPr>
      </w:pPr>
      <w:r>
        <w:rPr>
          <w:noProof/>
          <w:color w:val="000000"/>
          <w:szCs w:val="24"/>
        </w:rPr>
        <w:lastRenderedPageBreak/>
        <w:drawing>
          <wp:inline distT="0" distB="0" distL="0" distR="0">
            <wp:extent cx="4705350" cy="3895725"/>
            <wp:effectExtent l="0" t="0" r="0"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3895725"/>
                    </a:xfrm>
                    <a:prstGeom prst="rect">
                      <a:avLst/>
                    </a:prstGeom>
                    <a:noFill/>
                    <a:ln>
                      <a:noFill/>
                    </a:ln>
                  </pic:spPr>
                </pic:pic>
              </a:graphicData>
            </a:graphic>
          </wp:inline>
        </w:drawing>
      </w:r>
    </w:p>
    <w:p w:rsidR="00DC6F02" w:rsidRDefault="00DC6F02" w:rsidP="00DC6F02">
      <w:pPr>
        <w:autoSpaceDE w:val="0"/>
        <w:autoSpaceDN w:val="0"/>
        <w:adjustRightInd w:val="0"/>
        <w:rPr>
          <w:color w:val="000000"/>
          <w:szCs w:val="24"/>
        </w:rPr>
      </w:pPr>
    </w:p>
    <w:p w:rsidR="00DC6F02" w:rsidRDefault="00DC6F02" w:rsidP="00DC6F02">
      <w:pPr>
        <w:autoSpaceDE w:val="0"/>
        <w:autoSpaceDN w:val="0"/>
        <w:adjustRightInd w:val="0"/>
        <w:rPr>
          <w:color w:val="000000"/>
          <w:szCs w:val="24"/>
        </w:rPr>
      </w:pPr>
    </w:p>
    <w:p w:rsidR="00DC6F02" w:rsidRDefault="00DC6F02" w:rsidP="00DC6F02">
      <w:pPr>
        <w:keepNext/>
        <w:autoSpaceDE w:val="0"/>
        <w:autoSpaceDN w:val="0"/>
        <w:adjustRightInd w:val="0"/>
        <w:rPr>
          <w:b/>
          <w:bCs/>
          <w:i/>
          <w:iCs/>
          <w:color w:val="000000"/>
          <w:szCs w:val="24"/>
        </w:rPr>
      </w:pPr>
      <w:r>
        <w:rPr>
          <w:b/>
          <w:bCs/>
          <w:i/>
          <w:iCs/>
          <w:color w:val="000000"/>
          <w:szCs w:val="24"/>
        </w:rPr>
        <w:t>Alustavien ehdotusten tekemisen määräpäivä</w:t>
      </w:r>
    </w:p>
    <w:p w:rsidR="00DC6F02" w:rsidRDefault="00DC6F02" w:rsidP="00DC6F02">
      <w:pPr>
        <w:autoSpaceDE w:val="0"/>
        <w:autoSpaceDN w:val="0"/>
        <w:adjustRightInd w:val="0"/>
        <w:rPr>
          <w:b/>
          <w:bCs/>
          <w:i/>
          <w:iCs/>
          <w:color w:val="000000"/>
          <w:szCs w:val="24"/>
        </w:rPr>
      </w:pPr>
    </w:p>
    <w:p w:rsidR="00DC6F02" w:rsidRDefault="00DC6F02" w:rsidP="00590DA9">
      <w:pPr>
        <w:autoSpaceDE w:val="0"/>
        <w:autoSpaceDN w:val="0"/>
        <w:adjustRightInd w:val="0"/>
        <w:jc w:val="both"/>
        <w:rPr>
          <w:color w:val="000000"/>
          <w:szCs w:val="24"/>
        </w:rPr>
      </w:pPr>
      <w:r>
        <w:rPr>
          <w:color w:val="000000"/>
          <w:szCs w:val="24"/>
        </w:rPr>
        <w:t>Ehdotukset talousarvioon varattaviksi määrärahoiksi toimitetaan Kirkkohallitukseen pe 30.5.2014 mennessä. Tällöin ehdotuksia on mahdollista valmistella riittävästi osana normaalia talousarvion valmisteluprosessia.</w:t>
      </w:r>
    </w:p>
    <w:p w:rsidR="00EF0D3F" w:rsidRPr="00B10115" w:rsidRDefault="00EF0D3F" w:rsidP="00590DA9">
      <w:pPr>
        <w:autoSpaceDE w:val="0"/>
        <w:autoSpaceDN w:val="0"/>
        <w:adjustRightInd w:val="0"/>
        <w:jc w:val="both"/>
        <w:rPr>
          <w:color w:val="000000"/>
          <w:szCs w:val="24"/>
        </w:rPr>
      </w:pPr>
    </w:p>
    <w:p w:rsidR="00E73C5B" w:rsidRDefault="00E73C5B"/>
    <w:p w:rsidR="00590DA9" w:rsidRDefault="00590DA9" w:rsidP="00590DA9">
      <w:pPr>
        <w:jc w:val="both"/>
      </w:pPr>
    </w:p>
    <w:p w:rsidR="00E73C5B" w:rsidRDefault="00E73C5B" w:rsidP="00590DA9">
      <w:pPr>
        <w:jc w:val="both"/>
      </w:pPr>
      <w:r>
        <w:t xml:space="preserve">Helsingissä </w:t>
      </w:r>
      <w:r w:rsidR="00281014">
        <w:t>2</w:t>
      </w:r>
      <w:r w:rsidR="006E0628">
        <w:t>2</w:t>
      </w:r>
      <w:r>
        <w:t xml:space="preserve"> päivänä </w:t>
      </w:r>
      <w:r w:rsidR="00A71656">
        <w:t>huhti</w:t>
      </w:r>
      <w:r>
        <w:t>kuuta 20</w:t>
      </w:r>
      <w:r w:rsidR="00E012BF">
        <w:t>1</w:t>
      </w:r>
      <w:r w:rsidR="006E0628">
        <w:t>4</w:t>
      </w:r>
    </w:p>
    <w:p w:rsidR="00E73C5B" w:rsidRDefault="00E73C5B" w:rsidP="00413F87">
      <w:pPr>
        <w:autoSpaceDE w:val="0"/>
        <w:autoSpaceDN w:val="0"/>
        <w:adjustRightInd w:val="0"/>
        <w:ind w:left="1304"/>
        <w:jc w:val="both"/>
      </w:pPr>
    </w:p>
    <w:p w:rsidR="00413F87" w:rsidRDefault="00413F87" w:rsidP="00413F87">
      <w:pPr>
        <w:autoSpaceDE w:val="0"/>
        <w:autoSpaceDN w:val="0"/>
        <w:adjustRightInd w:val="0"/>
        <w:ind w:left="1304"/>
        <w:jc w:val="both"/>
      </w:pPr>
    </w:p>
    <w:p w:rsidR="00E73C5B" w:rsidRDefault="00E73C5B" w:rsidP="00413F87">
      <w:pPr>
        <w:autoSpaceDE w:val="0"/>
        <w:autoSpaceDN w:val="0"/>
        <w:adjustRightInd w:val="0"/>
        <w:ind w:left="1304"/>
        <w:jc w:val="both"/>
      </w:pPr>
    </w:p>
    <w:p w:rsidR="0043400B" w:rsidRDefault="0043400B" w:rsidP="00413F87">
      <w:pPr>
        <w:autoSpaceDE w:val="0"/>
        <w:autoSpaceDN w:val="0"/>
        <w:adjustRightInd w:val="0"/>
        <w:ind w:left="1304"/>
        <w:jc w:val="both"/>
      </w:pPr>
    </w:p>
    <w:p w:rsidR="00E73C5B" w:rsidRDefault="00E73C5B" w:rsidP="00590DA9">
      <w:pPr>
        <w:jc w:val="both"/>
      </w:pPr>
      <w:r>
        <w:t>Arkkipiispa</w:t>
      </w:r>
      <w:r>
        <w:tab/>
      </w:r>
      <w:r>
        <w:tab/>
      </w:r>
      <w:r w:rsidR="00AD0F03">
        <w:t>Kari Mäkinen</w:t>
      </w:r>
    </w:p>
    <w:p w:rsidR="00E73C5B" w:rsidRDefault="00E73C5B" w:rsidP="00413F87">
      <w:pPr>
        <w:ind w:left="1304"/>
        <w:jc w:val="both"/>
      </w:pPr>
    </w:p>
    <w:p w:rsidR="00413F87" w:rsidRDefault="00413F87" w:rsidP="00413F87">
      <w:pPr>
        <w:ind w:left="1304"/>
        <w:jc w:val="both"/>
      </w:pPr>
    </w:p>
    <w:p w:rsidR="00E73C5B" w:rsidRDefault="00E73C5B" w:rsidP="00413F87">
      <w:pPr>
        <w:ind w:left="1304"/>
        <w:jc w:val="both"/>
      </w:pPr>
    </w:p>
    <w:p w:rsidR="00E73C5B" w:rsidRDefault="00E73C5B" w:rsidP="00590DA9">
      <w:pPr>
        <w:jc w:val="both"/>
      </w:pPr>
      <w:r>
        <w:t>Kirkkoneuvos</w:t>
      </w:r>
      <w:r>
        <w:tab/>
        <w:t>Leena Rantanen</w:t>
      </w:r>
    </w:p>
    <w:p w:rsidR="00A217E4" w:rsidRDefault="00A217E4" w:rsidP="00413F87">
      <w:pPr>
        <w:ind w:left="1304"/>
        <w:jc w:val="both"/>
      </w:pPr>
    </w:p>
    <w:sectPr w:rsidR="00A217E4" w:rsidSect="00CF1655">
      <w:headerReference w:type="even" r:id="rId9"/>
      <w:headerReference w:type="default" r:id="rId10"/>
      <w:headerReference w:type="first" r:id="rId11"/>
      <w:pgSz w:w="11906" w:h="16838" w:code="9"/>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53" w:rsidRDefault="00B36A53">
      <w:r>
        <w:separator/>
      </w:r>
    </w:p>
  </w:endnote>
  <w:endnote w:type="continuationSeparator" w:id="0">
    <w:p w:rsidR="00B36A53" w:rsidRDefault="00B3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53" w:rsidRDefault="00B36A53">
      <w:r>
        <w:separator/>
      </w:r>
    </w:p>
  </w:footnote>
  <w:footnote w:type="continuationSeparator" w:id="0">
    <w:p w:rsidR="00B36A53" w:rsidRDefault="00B36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AC" w:rsidRDefault="005C41AC">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5C41AC" w:rsidRDefault="005C41AC">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AC" w:rsidRDefault="005C41AC">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CF1655">
      <w:rPr>
        <w:rStyle w:val="Sivunumero"/>
        <w:noProof/>
      </w:rPr>
      <w:t>4</w:t>
    </w:r>
    <w:r>
      <w:rPr>
        <w:rStyle w:val="Sivunumero"/>
      </w:rPr>
      <w:fldChar w:fldCharType="end"/>
    </w:r>
  </w:p>
  <w:p w:rsidR="005C41AC" w:rsidRDefault="005C41AC">
    <w:pPr>
      <w:pStyle w:val="Yltunniste"/>
    </w:pPr>
  </w:p>
  <w:p w:rsidR="005C41AC" w:rsidRDefault="005C41AC">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AC" w:rsidRDefault="005C41AC">
    <w:pPr>
      <w:pStyle w:val="Yltunniste"/>
    </w:pPr>
  </w:p>
  <w:p w:rsidR="005C41AC" w:rsidRDefault="005C41AC">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2454D"/>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
    <w:nsid w:val="125D3C2E"/>
    <w:multiLevelType w:val="singleLevel"/>
    <w:tmpl w:val="040B000F"/>
    <w:lvl w:ilvl="0">
      <w:start w:val="1"/>
      <w:numFmt w:val="decimal"/>
      <w:lvlText w:val="%1."/>
      <w:lvlJc w:val="left"/>
      <w:pPr>
        <w:tabs>
          <w:tab w:val="num" w:pos="360"/>
        </w:tabs>
        <w:ind w:left="360" w:hanging="360"/>
      </w:pPr>
      <w:rPr>
        <w:rFonts w:hint="default"/>
      </w:rPr>
    </w:lvl>
  </w:abstractNum>
  <w:abstractNum w:abstractNumId="2">
    <w:nsid w:val="14581CE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
    <w:nsid w:val="246B57FF"/>
    <w:multiLevelType w:val="hybridMultilevel"/>
    <w:tmpl w:val="C8166690"/>
    <w:lvl w:ilvl="0" w:tplc="5C50D570">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nsid w:val="2D1E20FD"/>
    <w:multiLevelType w:val="hybridMultilevel"/>
    <w:tmpl w:val="3A52C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48F34AD1"/>
    <w:multiLevelType w:val="singleLevel"/>
    <w:tmpl w:val="040B000F"/>
    <w:lvl w:ilvl="0">
      <w:start w:val="1"/>
      <w:numFmt w:val="decimal"/>
      <w:lvlText w:val="%1."/>
      <w:lvlJc w:val="left"/>
      <w:pPr>
        <w:tabs>
          <w:tab w:val="num" w:pos="360"/>
        </w:tabs>
        <w:ind w:left="360" w:hanging="360"/>
      </w:pPr>
      <w:rPr>
        <w:rFonts w:hint="default"/>
      </w:rPr>
    </w:lvl>
  </w:abstractNum>
  <w:abstractNum w:abstractNumId="6">
    <w:nsid w:val="50493FA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7">
    <w:nsid w:val="5D1B2ED2"/>
    <w:multiLevelType w:val="hybridMultilevel"/>
    <w:tmpl w:val="77C2ED94"/>
    <w:lvl w:ilvl="0" w:tplc="4EC2FABA">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7C801BBF"/>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6"/>
  </w:num>
  <w:num w:numId="4">
    <w:abstractNumId w:val="8"/>
  </w:num>
  <w:num w:numId="5">
    <w:abstractNumId w:val="2"/>
  </w:num>
  <w:num w:numId="6">
    <w:abstractNumId w:val="1"/>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B7"/>
    <w:rsid w:val="00090A36"/>
    <w:rsid w:val="000F1C78"/>
    <w:rsid w:val="000F7BF8"/>
    <w:rsid w:val="00140530"/>
    <w:rsid w:val="00186FC5"/>
    <w:rsid w:val="001C0F8C"/>
    <w:rsid w:val="00200D97"/>
    <w:rsid w:val="00281014"/>
    <w:rsid w:val="002A6680"/>
    <w:rsid w:val="002E0FEF"/>
    <w:rsid w:val="002F31F6"/>
    <w:rsid w:val="003D0C09"/>
    <w:rsid w:val="003F0E9C"/>
    <w:rsid w:val="00413F87"/>
    <w:rsid w:val="0042360D"/>
    <w:rsid w:val="0043400B"/>
    <w:rsid w:val="00451AE6"/>
    <w:rsid w:val="00456A7F"/>
    <w:rsid w:val="004758CA"/>
    <w:rsid w:val="004B176F"/>
    <w:rsid w:val="004D749F"/>
    <w:rsid w:val="004F465D"/>
    <w:rsid w:val="005155DB"/>
    <w:rsid w:val="005535EA"/>
    <w:rsid w:val="00590DA9"/>
    <w:rsid w:val="005B431B"/>
    <w:rsid w:val="005C41AC"/>
    <w:rsid w:val="005D37C3"/>
    <w:rsid w:val="005D58F5"/>
    <w:rsid w:val="00637CCD"/>
    <w:rsid w:val="00645FC2"/>
    <w:rsid w:val="006E0628"/>
    <w:rsid w:val="006F5C8C"/>
    <w:rsid w:val="00761CDE"/>
    <w:rsid w:val="00795E08"/>
    <w:rsid w:val="007A7573"/>
    <w:rsid w:val="007B13C8"/>
    <w:rsid w:val="007B43DC"/>
    <w:rsid w:val="0098625D"/>
    <w:rsid w:val="009C63B7"/>
    <w:rsid w:val="009D6F24"/>
    <w:rsid w:val="009E56E3"/>
    <w:rsid w:val="00A217E4"/>
    <w:rsid w:val="00A6553C"/>
    <w:rsid w:val="00A71656"/>
    <w:rsid w:val="00AB79BD"/>
    <w:rsid w:val="00AD0F03"/>
    <w:rsid w:val="00AF5429"/>
    <w:rsid w:val="00B02718"/>
    <w:rsid w:val="00B11684"/>
    <w:rsid w:val="00B25C61"/>
    <w:rsid w:val="00B3438E"/>
    <w:rsid w:val="00B36A53"/>
    <w:rsid w:val="00B965C7"/>
    <w:rsid w:val="00C07044"/>
    <w:rsid w:val="00C11EC7"/>
    <w:rsid w:val="00C15796"/>
    <w:rsid w:val="00C644BE"/>
    <w:rsid w:val="00C93588"/>
    <w:rsid w:val="00CE5D6F"/>
    <w:rsid w:val="00CF1655"/>
    <w:rsid w:val="00CF2325"/>
    <w:rsid w:val="00DC2430"/>
    <w:rsid w:val="00DC6F02"/>
    <w:rsid w:val="00E012BF"/>
    <w:rsid w:val="00E67B61"/>
    <w:rsid w:val="00E73C5B"/>
    <w:rsid w:val="00ED033A"/>
    <w:rsid w:val="00EF0223"/>
    <w:rsid w:val="00EF0D3F"/>
    <w:rsid w:val="00F1718D"/>
    <w:rsid w:val="00F4409B"/>
    <w:rsid w:val="00F639AC"/>
    <w:rsid w:val="00F85D5D"/>
    <w:rsid w:val="00FA6069"/>
    <w:rsid w:val="00FB36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E2BA64-3494-483D-857D-A5206707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rPr>
  </w:style>
  <w:style w:type="paragraph" w:styleId="Otsikko1">
    <w:name w:val="heading 1"/>
    <w:basedOn w:val="Normaali"/>
    <w:next w:val="Normaali"/>
    <w:qFormat/>
    <w:pPr>
      <w:keepNext/>
      <w:ind w:left="2608"/>
      <w:outlineLvl w:val="0"/>
    </w:pPr>
    <w:rPr>
      <w:b/>
    </w:rPr>
  </w:style>
  <w:style w:type="paragraph" w:styleId="Otsikko2">
    <w:name w:val="heading 2"/>
    <w:basedOn w:val="Normaali"/>
    <w:next w:val="Normaali"/>
    <w:qFormat/>
    <w:pPr>
      <w:keepNext/>
      <w:autoSpaceDE w:val="0"/>
      <w:autoSpaceDN w:val="0"/>
      <w:adjustRightInd w:val="0"/>
      <w:outlineLvl w:val="1"/>
    </w:pPr>
    <w:rPr>
      <w:i/>
    </w:rPr>
  </w:style>
  <w:style w:type="paragraph" w:styleId="Otsikko3">
    <w:name w:val="heading 3"/>
    <w:basedOn w:val="Normaali"/>
    <w:next w:val="Normaali"/>
    <w:qFormat/>
    <w:pPr>
      <w:keepNext/>
      <w:jc w:val="right"/>
      <w:outlineLvl w:val="2"/>
    </w:pPr>
    <w:rPr>
      <w:b/>
      <w:bCs/>
    </w:rPr>
  </w:style>
  <w:style w:type="paragraph" w:styleId="Otsikko4">
    <w:name w:val="heading 4"/>
    <w:basedOn w:val="Normaali"/>
    <w:next w:val="Normaali"/>
    <w:qFormat/>
    <w:pPr>
      <w:keepNext/>
      <w:tabs>
        <w:tab w:val="decimal" w:pos="7040"/>
      </w:tabs>
      <w:autoSpaceDE w:val="0"/>
      <w:autoSpaceDN w:val="0"/>
      <w:adjustRightInd w:val="0"/>
      <w:ind w:left="1304"/>
      <w:outlineLvl w:val="3"/>
    </w:pPr>
    <w:rPr>
      <w:color w:val="000000"/>
      <w:szCs w:val="24"/>
      <w:u w:val="single"/>
    </w:rPr>
  </w:style>
  <w:style w:type="paragraph" w:styleId="Otsikko5">
    <w:name w:val="heading 5"/>
    <w:basedOn w:val="Normaali"/>
    <w:next w:val="Normaali"/>
    <w:qFormat/>
    <w:pPr>
      <w:keepNext/>
      <w:outlineLvl w:val="4"/>
    </w:pPr>
    <w:rPr>
      <w:b/>
      <w:bCs/>
    </w:rPr>
  </w:style>
  <w:style w:type="paragraph" w:styleId="Otsikko6">
    <w:name w:val="heading 6"/>
    <w:basedOn w:val="Normaali"/>
    <w:next w:val="Normaali"/>
    <w:qFormat/>
    <w:pPr>
      <w:keepNext/>
      <w:autoSpaceDE w:val="0"/>
      <w:autoSpaceDN w:val="0"/>
      <w:adjustRightInd w:val="0"/>
      <w:ind w:left="1304"/>
      <w:outlineLvl w:val="5"/>
    </w:pPr>
    <w:rPr>
      <w:i/>
      <w:iCs/>
      <w:color w:val="000000"/>
      <w:szCs w:val="24"/>
    </w:rPr>
  </w:style>
  <w:style w:type="paragraph" w:styleId="Otsikko7">
    <w:name w:val="heading 7"/>
    <w:basedOn w:val="Normaali"/>
    <w:next w:val="Normaali"/>
    <w:qFormat/>
    <w:pPr>
      <w:keepNext/>
      <w:autoSpaceDE w:val="0"/>
      <w:autoSpaceDN w:val="0"/>
      <w:adjustRightInd w:val="0"/>
      <w:outlineLvl w:val="6"/>
    </w:pPr>
    <w:rPr>
      <w:b/>
      <w:bCs/>
      <w:color w:val="000000"/>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pPr>
      <w:ind w:left="2608"/>
    </w:pPr>
    <w:rPr>
      <w:b/>
    </w:rPr>
  </w:style>
  <w:style w:type="paragraph" w:styleId="Alaviitteenteksti">
    <w:name w:val="footnote text"/>
    <w:basedOn w:val="Normaali"/>
    <w:semiHidden/>
    <w:rPr>
      <w:sz w:val="20"/>
    </w:rPr>
  </w:style>
  <w:style w:type="character" w:styleId="Alaviitteenviite">
    <w:name w:val="footnote reference"/>
    <w:basedOn w:val="Kappaleenoletusfontti"/>
    <w:semiHidden/>
    <w:rPr>
      <w:vertAlign w:val="superscript"/>
    </w:rPr>
  </w:style>
  <w:style w:type="paragraph" w:styleId="Yltunniste">
    <w:name w:val="header"/>
    <w:basedOn w:val="Normaali"/>
    <w:semiHidden/>
    <w:pPr>
      <w:tabs>
        <w:tab w:val="center" w:pos="4819"/>
        <w:tab w:val="right" w:pos="9638"/>
      </w:tabs>
    </w:pPr>
  </w:style>
  <w:style w:type="character" w:styleId="Sivunumero">
    <w:name w:val="page number"/>
    <w:basedOn w:val="Kappaleenoletusfontti"/>
    <w:semiHidden/>
  </w:style>
  <w:style w:type="paragraph" w:styleId="Sisennettyleipteksti2">
    <w:name w:val="Body Text Indent 2"/>
    <w:basedOn w:val="Normaali"/>
    <w:semiHidden/>
    <w:pPr>
      <w:autoSpaceDE w:val="0"/>
      <w:autoSpaceDN w:val="0"/>
      <w:adjustRightInd w:val="0"/>
      <w:ind w:left="1304"/>
      <w:jc w:val="both"/>
    </w:pPr>
  </w:style>
  <w:style w:type="paragraph" w:styleId="Alatunniste">
    <w:name w:val="footer"/>
    <w:basedOn w:val="Normaali"/>
    <w:semiHidden/>
    <w:pPr>
      <w:tabs>
        <w:tab w:val="center" w:pos="4819"/>
        <w:tab w:val="right" w:pos="9638"/>
      </w:tabs>
    </w:pPr>
  </w:style>
  <w:style w:type="paragraph" w:styleId="Sisennettyleipteksti3">
    <w:name w:val="Body Text Indent 3"/>
    <w:basedOn w:val="Normaali"/>
    <w:semiHidden/>
    <w:pPr>
      <w:ind w:left="1304"/>
    </w:pPr>
  </w:style>
  <w:style w:type="paragraph" w:styleId="Leipteksti">
    <w:name w:val="Body Text"/>
    <w:basedOn w:val="Normaali"/>
    <w:semiHidden/>
    <w:rPr>
      <w:b/>
      <w:bCs/>
    </w:rPr>
  </w:style>
  <w:style w:type="paragraph" w:styleId="Seliteteksti">
    <w:name w:val="Balloon Text"/>
    <w:basedOn w:val="Normaali"/>
    <w:link w:val="SelitetekstiChar"/>
    <w:uiPriority w:val="99"/>
    <w:semiHidden/>
    <w:unhideWhenUsed/>
    <w:rsid w:val="001C0F8C"/>
    <w:rPr>
      <w:rFonts w:ascii="Tahoma" w:hAnsi="Tahoma" w:cs="Tahoma"/>
      <w:sz w:val="16"/>
      <w:szCs w:val="16"/>
    </w:rPr>
  </w:style>
  <w:style w:type="character" w:customStyle="1" w:styleId="SelitetekstiChar">
    <w:name w:val="Seliteteksti Char"/>
    <w:basedOn w:val="Kappaleenoletusfontti"/>
    <w:link w:val="Seliteteksti"/>
    <w:uiPriority w:val="99"/>
    <w:semiHidden/>
    <w:rsid w:val="001C0F8C"/>
    <w:rPr>
      <w:rFonts w:ascii="Tahoma" w:hAnsi="Tahoma" w:cs="Tahoma"/>
      <w:sz w:val="16"/>
      <w:szCs w:val="16"/>
    </w:rPr>
  </w:style>
  <w:style w:type="paragraph" w:styleId="Luettelokappale">
    <w:name w:val="List Paragraph"/>
    <w:basedOn w:val="Normaali"/>
    <w:uiPriority w:val="34"/>
    <w:qFormat/>
    <w:rsid w:val="007A7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0BC60-DF3D-44DC-BFE7-E6DAEA9D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1342</Words>
  <Characters>11151</Characters>
  <Application>Microsoft Office Word</Application>
  <DocSecurity>0</DocSecurity>
  <Lines>92</Lines>
  <Paragraphs>24</Paragraphs>
  <ScaleCrop>false</ScaleCrop>
  <HeadingPairs>
    <vt:vector size="2" baseType="variant">
      <vt:variant>
        <vt:lpstr>Otsikko</vt:lpstr>
      </vt:variant>
      <vt:variant>
        <vt:i4>1</vt:i4>
      </vt:variant>
    </vt:vector>
  </HeadingPairs>
  <TitlesOfParts>
    <vt:vector size="1" baseType="lpstr">
      <vt:lpstr>Kirkkoneuvos Häkkisen ilmoitus 1/2007 kirkolliskokoukselle</vt:lpstr>
    </vt:vector>
  </TitlesOfParts>
  <Company>Kirkkohallitus</Company>
  <LinksUpToDate>false</LinksUpToDate>
  <CharactersWithSpaces>12469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Kirkkoneuvos Häkkisen ilmoitus 1/2007 kirkolliskokoukselle</dc:title>
  <dc:creator>Seppo Häkkinen</dc:creator>
  <cp:lastModifiedBy>Aarnio-Jääskeläinen Liisa (Kirkkohallitus)</cp:lastModifiedBy>
  <cp:revision>3</cp:revision>
  <cp:lastPrinted>2013-04-25T09:07:00Z</cp:lastPrinted>
  <dcterms:created xsi:type="dcterms:W3CDTF">2014-04-23T07:41:00Z</dcterms:created>
  <dcterms:modified xsi:type="dcterms:W3CDTF">2014-04-23T07:42:00Z</dcterms:modified>
</cp:coreProperties>
</file>